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CC456">
      <w:pPr>
        <w:spacing w:line="240" w:lineRule="auto"/>
        <w:jc w:val="center"/>
        <w:rPr>
          <w:color w:val="auto"/>
          <w:sz w:val="52"/>
          <w:szCs w:val="52"/>
        </w:rPr>
      </w:pPr>
    </w:p>
    <w:p w14:paraId="46DFF4D6">
      <w:pPr>
        <w:spacing w:line="240" w:lineRule="auto"/>
        <w:jc w:val="center"/>
        <w:rPr>
          <w:color w:val="auto"/>
          <w:sz w:val="52"/>
          <w:szCs w:val="52"/>
        </w:rPr>
      </w:pPr>
    </w:p>
    <w:p w14:paraId="4B29A263">
      <w:pPr>
        <w:spacing w:line="240" w:lineRule="auto"/>
        <w:jc w:val="center"/>
        <w:rPr>
          <w:color w:val="auto"/>
          <w:sz w:val="52"/>
          <w:szCs w:val="52"/>
        </w:rPr>
      </w:pPr>
    </w:p>
    <w:p w14:paraId="39F8DE7E">
      <w:pPr>
        <w:spacing w:line="240" w:lineRule="auto"/>
        <w:jc w:val="center"/>
        <w:rPr>
          <w:color w:val="auto"/>
          <w:sz w:val="52"/>
          <w:szCs w:val="52"/>
        </w:rPr>
      </w:pPr>
      <w:r>
        <w:rPr>
          <w:rFonts w:hint="eastAsia"/>
          <w:color w:val="auto"/>
          <w:sz w:val="52"/>
          <w:szCs w:val="52"/>
        </w:rPr>
        <w:t>陕西省省</w:t>
      </w:r>
      <w:r>
        <w:rPr>
          <w:color w:val="auto"/>
          <w:sz w:val="52"/>
          <w:szCs w:val="52"/>
        </w:rPr>
        <w:t>级单位政府采购中心</w:t>
      </w:r>
    </w:p>
    <w:p w14:paraId="5CB49276">
      <w:pPr>
        <w:spacing w:line="240" w:lineRule="auto"/>
        <w:jc w:val="center"/>
        <w:rPr>
          <w:rFonts w:ascii="黑体" w:hAnsi="黑体" w:eastAsia="黑体" w:cs="黑体"/>
          <w:bCs/>
          <w:color w:val="auto"/>
          <w:sz w:val="96"/>
          <w:szCs w:val="96"/>
        </w:rPr>
      </w:pPr>
      <w:r>
        <w:rPr>
          <w:rFonts w:hint="eastAsia" w:ascii="宋体" w:hAnsi="宋体" w:eastAsia="宋体" w:cs="宋体"/>
          <w:b/>
          <w:color w:val="auto"/>
          <w:kern w:val="0"/>
          <w:sz w:val="96"/>
          <w:szCs w:val="96"/>
        </w:rPr>
        <w:t>竞争性磋商文件</w:t>
      </w:r>
    </w:p>
    <w:p w14:paraId="6C30699A">
      <w:pPr>
        <w:spacing w:line="240" w:lineRule="auto"/>
        <w:jc w:val="center"/>
        <w:rPr>
          <w:rFonts w:hint="eastAsia" w:eastAsia="华文仿宋"/>
          <w:color w:val="auto"/>
          <w:sz w:val="36"/>
          <w:szCs w:val="36"/>
          <w:lang w:eastAsia="zh-CN"/>
        </w:rPr>
      </w:pPr>
      <w:r>
        <w:rPr>
          <w:rFonts w:hint="eastAsia"/>
          <w:color w:val="auto"/>
          <w:sz w:val="36"/>
          <w:szCs w:val="36"/>
          <w:lang w:eastAsia="zh-CN"/>
        </w:rPr>
        <w:t>（</w:t>
      </w:r>
      <w:r>
        <w:rPr>
          <w:rFonts w:hint="eastAsia"/>
          <w:color w:val="auto"/>
          <w:sz w:val="36"/>
          <w:szCs w:val="36"/>
          <w:lang w:val="en-US" w:eastAsia="zh-CN"/>
        </w:rPr>
        <w:t>专门面向中小企业</w:t>
      </w:r>
      <w:r>
        <w:rPr>
          <w:rFonts w:hint="eastAsia"/>
          <w:color w:val="auto"/>
          <w:sz w:val="36"/>
          <w:szCs w:val="36"/>
          <w:lang w:eastAsia="zh-CN"/>
        </w:rPr>
        <w:t>）</w:t>
      </w:r>
    </w:p>
    <w:p w14:paraId="5BFBE474">
      <w:pPr>
        <w:pStyle w:val="2"/>
        <w:ind w:firstLine="183"/>
        <w:rPr>
          <w:rFonts w:hint="eastAsia" w:eastAsia="华文仿宋"/>
          <w:color w:val="auto"/>
          <w:lang w:eastAsia="zh-CN"/>
        </w:rPr>
      </w:pPr>
    </w:p>
    <w:p w14:paraId="104CC5CF">
      <w:pPr>
        <w:pStyle w:val="52"/>
        <w:ind w:firstLine="727"/>
        <w:rPr>
          <w:color w:val="auto"/>
          <w:sz w:val="36"/>
          <w:szCs w:val="36"/>
        </w:rPr>
      </w:pPr>
    </w:p>
    <w:p w14:paraId="2ED8CF01">
      <w:pPr>
        <w:pStyle w:val="52"/>
        <w:spacing w:line="240" w:lineRule="auto"/>
        <w:ind w:right="424" w:rightChars="150" w:firstLine="727"/>
        <w:rPr>
          <w:color w:val="auto"/>
          <w:sz w:val="36"/>
          <w:szCs w:val="36"/>
        </w:rPr>
      </w:pPr>
    </w:p>
    <w:p w14:paraId="1112429F">
      <w:pPr>
        <w:spacing w:line="240" w:lineRule="auto"/>
        <w:ind w:left="2539" w:leftChars="256" w:right="707" w:rightChars="250" w:hanging="1815" w:hangingChars="500"/>
        <w:rPr>
          <w:rFonts w:hint="eastAsia"/>
          <w:b/>
          <w:bCs/>
          <w:color w:val="auto"/>
          <w:sz w:val="36"/>
          <w:szCs w:val="36"/>
          <w:u w:val="none"/>
          <w:lang w:val="en-US" w:eastAsia="zh-CN"/>
        </w:rPr>
      </w:pPr>
      <w:r>
        <w:rPr>
          <w:rFonts w:hint="eastAsia"/>
          <w:b/>
          <w:bCs/>
          <w:color w:val="auto"/>
          <w:sz w:val="36"/>
          <w:szCs w:val="36"/>
          <w:u w:val="none"/>
        </w:rPr>
        <w:t>项目名称：</w:t>
      </w:r>
      <w:bookmarkStart w:id="0" w:name="_Hlk511210231"/>
      <w:r>
        <w:rPr>
          <w:rFonts w:hint="eastAsia"/>
          <w:b/>
          <w:bCs/>
          <w:color w:val="auto"/>
          <w:sz w:val="36"/>
          <w:szCs w:val="36"/>
          <w:u w:val="none"/>
          <w:lang w:eastAsia="zh-CN"/>
        </w:rPr>
        <w:t>陕西省信访局机关物业管理</w:t>
      </w:r>
      <w:r>
        <w:rPr>
          <w:rFonts w:hint="eastAsia"/>
          <w:b/>
          <w:bCs/>
          <w:color w:val="auto"/>
          <w:sz w:val="36"/>
          <w:szCs w:val="36"/>
          <w:u w:val="none"/>
          <w:lang w:val="en-US" w:eastAsia="zh-CN"/>
        </w:rPr>
        <w:t>服务项目</w:t>
      </w:r>
    </w:p>
    <w:bookmarkEnd w:id="0"/>
    <w:p w14:paraId="2238E641">
      <w:pPr>
        <w:spacing w:line="240" w:lineRule="auto"/>
        <w:ind w:right="707" w:rightChars="250" w:firstLine="726" w:firstLineChars="200"/>
        <w:rPr>
          <w:b/>
          <w:bCs/>
          <w:color w:val="auto"/>
          <w:sz w:val="36"/>
          <w:szCs w:val="36"/>
          <w:u w:val="none"/>
        </w:rPr>
      </w:pPr>
      <w:r>
        <w:rPr>
          <w:rFonts w:hint="eastAsia"/>
          <w:b/>
          <w:bCs/>
          <w:color w:val="auto"/>
          <w:sz w:val="36"/>
          <w:szCs w:val="36"/>
          <w:u w:val="none"/>
        </w:rPr>
        <w:t>项目编号：</w:t>
      </w:r>
      <w:r>
        <w:rPr>
          <w:rFonts w:hint="eastAsia" w:ascii="仿宋" w:hAnsi="仿宋" w:eastAsia="仿宋" w:cs="仿宋"/>
          <w:b/>
          <w:bCs/>
          <w:color w:val="auto"/>
          <w:sz w:val="36"/>
          <w:szCs w:val="36"/>
          <w:lang w:val="en-US" w:eastAsia="zh-CN"/>
        </w:rPr>
        <w:t>SNCG-FM-2021004</w:t>
      </w:r>
      <w:r>
        <w:rPr>
          <w:rFonts w:hint="eastAsia" w:ascii="仿宋" w:hAnsi="仿宋" w:eastAsia="仿宋" w:cs="仿宋"/>
          <w:b/>
          <w:bCs/>
          <w:color w:val="auto"/>
          <w:sz w:val="36"/>
          <w:szCs w:val="36"/>
          <w:u w:val="none"/>
        </w:rPr>
        <w:t xml:space="preserve"> </w:t>
      </w:r>
      <w:r>
        <w:rPr>
          <w:rFonts w:hint="eastAsia"/>
          <w:b/>
          <w:bCs/>
          <w:color w:val="auto"/>
          <w:sz w:val="36"/>
          <w:szCs w:val="36"/>
          <w:u w:val="none"/>
        </w:rPr>
        <w:t xml:space="preserve">           </w:t>
      </w:r>
    </w:p>
    <w:p w14:paraId="3880AE22">
      <w:pPr>
        <w:spacing w:line="240" w:lineRule="auto"/>
        <w:ind w:right="707" w:rightChars="250" w:firstLine="726" w:firstLineChars="200"/>
        <w:rPr>
          <w:b/>
          <w:bCs/>
          <w:color w:val="auto"/>
          <w:sz w:val="36"/>
          <w:szCs w:val="36"/>
          <w:u w:val="none"/>
        </w:rPr>
      </w:pPr>
      <w:r>
        <w:rPr>
          <w:rFonts w:hint="eastAsia"/>
          <w:b/>
          <w:bCs/>
          <w:color w:val="auto"/>
          <w:sz w:val="36"/>
          <w:szCs w:val="36"/>
          <w:u w:val="none"/>
        </w:rPr>
        <w:t>采 购 人：</w:t>
      </w:r>
      <w:r>
        <w:rPr>
          <w:rFonts w:hint="eastAsia"/>
          <w:b/>
          <w:bCs/>
          <w:color w:val="auto"/>
          <w:sz w:val="36"/>
          <w:szCs w:val="36"/>
          <w:u w:val="none"/>
          <w:lang w:eastAsia="zh-CN"/>
        </w:rPr>
        <w:t>陕西省信访局</w:t>
      </w:r>
      <w:r>
        <w:rPr>
          <w:rFonts w:hint="eastAsia"/>
          <w:b/>
          <w:bCs/>
          <w:color w:val="auto"/>
          <w:sz w:val="36"/>
          <w:szCs w:val="36"/>
          <w:u w:val="none"/>
        </w:rPr>
        <w:t xml:space="preserve">            </w:t>
      </w:r>
    </w:p>
    <w:p w14:paraId="2AF00972">
      <w:pPr>
        <w:spacing w:line="240" w:lineRule="auto"/>
        <w:ind w:right="707" w:rightChars="250" w:firstLine="726" w:firstLineChars="200"/>
        <w:rPr>
          <w:color w:val="auto"/>
          <w:sz w:val="36"/>
          <w:szCs w:val="36"/>
        </w:rPr>
      </w:pPr>
      <w:r>
        <w:rPr>
          <w:rFonts w:hint="eastAsia"/>
          <w:b/>
          <w:bCs/>
          <w:color w:val="auto"/>
          <w:sz w:val="36"/>
          <w:szCs w:val="36"/>
          <w:u w:val="none"/>
        </w:rPr>
        <w:t xml:space="preserve">采购代理机构：陕西省省级单位政府采购中心    </w:t>
      </w:r>
      <w:r>
        <w:rPr>
          <w:rFonts w:hint="eastAsia"/>
          <w:b/>
          <w:bCs/>
          <w:color w:val="auto"/>
          <w:sz w:val="36"/>
          <w:szCs w:val="36"/>
        </w:rPr>
        <w:t xml:space="preserve"> </w:t>
      </w:r>
      <w:r>
        <w:rPr>
          <w:rFonts w:hint="eastAsia"/>
          <w:color w:val="auto"/>
          <w:sz w:val="36"/>
          <w:szCs w:val="36"/>
        </w:rPr>
        <w:t xml:space="preserve">      </w:t>
      </w:r>
    </w:p>
    <w:p w14:paraId="2FB714E5">
      <w:pPr>
        <w:spacing w:line="240" w:lineRule="auto"/>
        <w:ind w:right="424" w:rightChars="150" w:firstLine="726" w:firstLineChars="200"/>
        <w:rPr>
          <w:color w:val="auto"/>
          <w:sz w:val="36"/>
          <w:szCs w:val="36"/>
        </w:rPr>
      </w:pPr>
    </w:p>
    <w:p w14:paraId="31BB330F">
      <w:pPr>
        <w:spacing w:line="240" w:lineRule="auto"/>
        <w:jc w:val="center"/>
        <w:rPr>
          <w:color w:val="auto"/>
          <w:sz w:val="36"/>
          <w:szCs w:val="36"/>
        </w:rPr>
      </w:pPr>
    </w:p>
    <w:p w14:paraId="08AE4480">
      <w:pPr>
        <w:spacing w:line="240" w:lineRule="auto"/>
        <w:ind w:firstLine="2904" w:firstLineChars="800"/>
        <w:rPr>
          <w:rFonts w:ascii="黑体" w:hAnsi="黑体" w:eastAsia="黑体"/>
          <w:color w:val="auto"/>
          <w:sz w:val="44"/>
          <w:szCs w:val="44"/>
        </w:rPr>
      </w:pPr>
      <w:r>
        <w:rPr>
          <w:rFonts w:hint="eastAsia" w:ascii="仿宋" w:hAnsi="仿宋" w:eastAsia="仿宋" w:cs="仿宋"/>
          <w:b/>
          <w:bCs/>
          <w:color w:val="auto"/>
          <w:sz w:val="36"/>
          <w:szCs w:val="36"/>
        </w:rPr>
        <w:t>202</w:t>
      </w:r>
      <w:r>
        <w:rPr>
          <w:rFonts w:hint="eastAsia" w:ascii="仿宋" w:hAnsi="仿宋" w:eastAsia="仿宋" w:cs="仿宋"/>
          <w:b/>
          <w:bCs/>
          <w:color w:val="auto"/>
          <w:sz w:val="36"/>
          <w:szCs w:val="36"/>
          <w:lang w:val="en-US" w:eastAsia="zh-CN"/>
        </w:rPr>
        <w:t>1</w:t>
      </w:r>
      <w:r>
        <w:rPr>
          <w:rFonts w:hint="eastAsia"/>
          <w:b/>
          <w:bCs/>
          <w:color w:val="auto"/>
          <w:sz w:val="36"/>
          <w:szCs w:val="36"/>
        </w:rPr>
        <w:t>年</w:t>
      </w:r>
      <w:r>
        <w:rPr>
          <w:rFonts w:hint="eastAsia" w:ascii="仿宋" w:hAnsi="仿宋" w:eastAsia="仿宋" w:cs="仿宋"/>
          <w:b/>
          <w:bCs/>
          <w:color w:val="auto"/>
          <w:sz w:val="36"/>
          <w:szCs w:val="36"/>
          <w:lang w:val="en-US" w:eastAsia="zh-CN"/>
        </w:rPr>
        <w:t xml:space="preserve">2 </w:t>
      </w:r>
      <w:r>
        <w:rPr>
          <w:rFonts w:hint="eastAsia" w:ascii="仿宋" w:hAnsi="仿宋" w:eastAsia="仿宋" w:cs="仿宋"/>
          <w:b/>
          <w:bCs/>
          <w:color w:val="auto"/>
          <w:sz w:val="36"/>
          <w:szCs w:val="36"/>
        </w:rPr>
        <w:t>月</w:t>
      </w:r>
      <w:r>
        <w:rPr>
          <w:rFonts w:hint="eastAsia" w:ascii="仿宋" w:hAnsi="仿宋" w:eastAsia="仿宋" w:cs="仿宋"/>
          <w:b/>
          <w:bCs/>
          <w:color w:val="auto"/>
          <w:sz w:val="36"/>
          <w:szCs w:val="36"/>
          <w:lang w:val="en-US" w:eastAsia="zh-CN"/>
        </w:rPr>
        <w:t>9</w:t>
      </w:r>
      <w:r>
        <w:rPr>
          <w:rFonts w:hint="eastAsia"/>
          <w:b/>
          <w:bCs/>
          <w:color w:val="auto"/>
          <w:sz w:val="36"/>
          <w:szCs w:val="36"/>
        </w:rPr>
        <w:t>日</w:t>
      </w:r>
      <w:bookmarkStart w:id="1" w:name="_Toc30102_WPSOffice_Level1"/>
      <w:bookmarkStart w:id="2" w:name="_Toc30340_WPSOffice_Level1"/>
      <w:bookmarkStart w:id="3" w:name="_Toc10222_WPSOffice_Level1"/>
    </w:p>
    <w:p w14:paraId="70B94108">
      <w:pPr>
        <w:pStyle w:val="18"/>
        <w:tabs>
          <w:tab w:val="right" w:leader="dot" w:pos="9072"/>
        </w:tabs>
        <w:spacing w:before="190" w:beforeLines="50" w:after="190" w:afterLines="50" w:line="500" w:lineRule="exact"/>
        <w:jc w:val="center"/>
        <w:rPr>
          <w:rFonts w:ascii="黑体" w:hAnsi="黑体" w:eastAsia="黑体"/>
          <w:color w:val="auto"/>
          <w:sz w:val="44"/>
          <w:szCs w:val="44"/>
        </w:rPr>
        <w:sectPr>
          <w:footerReference r:id="rId5" w:type="default"/>
          <w:pgSz w:w="11906" w:h="16838"/>
          <w:pgMar w:top="1417" w:right="1417" w:bottom="1417" w:left="1417" w:header="850" w:footer="992" w:gutter="0"/>
          <w:pgNumType w:fmt="decimal" w:start="1"/>
          <w:cols w:space="720" w:num="1"/>
          <w:docGrid w:type="linesAndChars" w:linePitch="381" w:charSpace="704"/>
        </w:sectPr>
      </w:pPr>
    </w:p>
    <w:p w14:paraId="0D89376D">
      <w:pPr>
        <w:pStyle w:val="18"/>
        <w:tabs>
          <w:tab w:val="right" w:leader="dot" w:pos="9072"/>
        </w:tabs>
        <w:spacing w:before="190" w:beforeLines="50" w:after="190" w:afterLines="50" w:line="500" w:lineRule="exact"/>
        <w:jc w:val="center"/>
        <w:rPr>
          <w:rFonts w:ascii="黑体" w:hAnsi="黑体" w:eastAsia="黑体"/>
          <w:color w:val="auto"/>
          <w:sz w:val="44"/>
          <w:szCs w:val="44"/>
        </w:rPr>
      </w:pPr>
      <w:r>
        <w:rPr>
          <w:rFonts w:hint="eastAsia" w:ascii="黑体" w:hAnsi="黑体" w:eastAsia="黑体"/>
          <w:color w:val="auto"/>
          <w:sz w:val="44"/>
          <w:szCs w:val="44"/>
        </w:rPr>
        <w:t>目  录</w:t>
      </w:r>
    </w:p>
    <w:p w14:paraId="6AFD06E3">
      <w:pPr>
        <w:pStyle w:val="18"/>
        <w:tabs>
          <w:tab w:val="right" w:leader="dot" w:pos="9072"/>
        </w:tabs>
        <w:rPr>
          <w:rFonts w:hint="eastAsia" w:ascii="黑体" w:hAnsi="黑体" w:eastAsia="黑体" w:cs="黑体"/>
        </w:rPr>
      </w:pP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TOC \o "1-2" \h \u </w:instrText>
      </w:r>
      <w:r>
        <w:rPr>
          <w:rFonts w:hint="eastAsia" w:ascii="黑体" w:hAnsi="黑体" w:eastAsia="黑体" w:cs="黑体"/>
          <w:color w:val="auto"/>
          <w:sz w:val="32"/>
          <w:szCs w:val="32"/>
        </w:rPr>
        <w:fldChar w:fldCharType="separate"/>
      </w: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_Toc30681 </w:instrText>
      </w:r>
      <w:r>
        <w:rPr>
          <w:rFonts w:hint="eastAsia" w:ascii="黑体" w:hAnsi="黑体" w:eastAsia="黑体" w:cs="黑体"/>
          <w:szCs w:val="32"/>
        </w:rPr>
        <w:fldChar w:fldCharType="separate"/>
      </w:r>
      <w:r>
        <w:rPr>
          <w:rFonts w:hint="eastAsia" w:ascii="黑体" w:hAnsi="黑体" w:eastAsia="黑体" w:cs="黑体"/>
          <w:szCs w:val="32"/>
        </w:rPr>
        <w:t>第一章  磋商邀请函</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_Toc30681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3E4C5DFE">
      <w:pPr>
        <w:pStyle w:val="18"/>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_Toc24972 </w:instrText>
      </w:r>
      <w:r>
        <w:rPr>
          <w:rFonts w:hint="eastAsia" w:ascii="黑体" w:hAnsi="黑体" w:eastAsia="黑体" w:cs="黑体"/>
          <w:szCs w:val="32"/>
        </w:rPr>
        <w:fldChar w:fldCharType="separate"/>
      </w:r>
      <w:r>
        <w:rPr>
          <w:rFonts w:hint="eastAsia" w:ascii="黑体" w:hAnsi="黑体" w:eastAsia="黑体" w:cs="黑体"/>
          <w:bCs/>
          <w:szCs w:val="32"/>
        </w:rPr>
        <w:t>第二章  供应商须知</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_Toc24972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3F5E63C0">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_Toc5006 </w:instrText>
      </w:r>
      <w:r>
        <w:rPr>
          <w:rFonts w:hint="eastAsia" w:ascii="黑体" w:hAnsi="黑体" w:eastAsia="黑体" w:cs="黑体"/>
          <w:szCs w:val="32"/>
        </w:rPr>
        <w:fldChar w:fldCharType="separate"/>
      </w:r>
      <w:r>
        <w:rPr>
          <w:rFonts w:hint="eastAsia" w:ascii="黑体" w:hAnsi="黑体" w:eastAsia="黑体" w:cs="黑体"/>
          <w:szCs w:val="28"/>
        </w:rPr>
        <w:t>一、定义</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_Toc5006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0D06340A">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_Toc2213 </w:instrText>
      </w:r>
      <w:r>
        <w:rPr>
          <w:rFonts w:hint="eastAsia" w:ascii="黑体" w:hAnsi="黑体" w:eastAsia="黑体" w:cs="黑体"/>
          <w:szCs w:val="32"/>
        </w:rPr>
        <w:fldChar w:fldCharType="separate"/>
      </w:r>
      <w:r>
        <w:rPr>
          <w:rFonts w:hint="eastAsia" w:ascii="黑体" w:hAnsi="黑体" w:eastAsia="黑体" w:cs="黑体"/>
          <w:szCs w:val="28"/>
        </w:rPr>
        <w:t>二、供应商注意事项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_Toc2213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1146B168">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_Toc16056 </w:instrText>
      </w:r>
      <w:r>
        <w:rPr>
          <w:rFonts w:hint="eastAsia" w:ascii="黑体" w:hAnsi="黑体" w:eastAsia="黑体" w:cs="黑体"/>
          <w:szCs w:val="32"/>
        </w:rPr>
        <w:fldChar w:fldCharType="separate"/>
      </w:r>
      <w:r>
        <w:rPr>
          <w:rFonts w:hint="eastAsia" w:ascii="黑体" w:hAnsi="黑体" w:eastAsia="黑体" w:cs="黑体"/>
          <w:szCs w:val="28"/>
        </w:rPr>
        <w:t>三、磋商文件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_Toc16056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2F9A230E">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_Toc30829 </w:instrText>
      </w:r>
      <w:r>
        <w:rPr>
          <w:rFonts w:hint="eastAsia" w:ascii="黑体" w:hAnsi="黑体" w:eastAsia="黑体" w:cs="黑体"/>
          <w:szCs w:val="32"/>
        </w:rPr>
        <w:fldChar w:fldCharType="separate"/>
      </w:r>
      <w:r>
        <w:rPr>
          <w:rFonts w:hint="eastAsia" w:ascii="黑体" w:hAnsi="黑体" w:eastAsia="黑体" w:cs="黑体"/>
          <w:szCs w:val="28"/>
        </w:rPr>
        <w:t>四、磋商保证金</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_Toc30829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59DEF192">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_Toc9141 </w:instrText>
      </w:r>
      <w:r>
        <w:rPr>
          <w:rFonts w:hint="eastAsia" w:ascii="黑体" w:hAnsi="黑体" w:eastAsia="黑体" w:cs="黑体"/>
          <w:szCs w:val="32"/>
        </w:rPr>
        <w:fldChar w:fldCharType="separate"/>
      </w:r>
      <w:r>
        <w:rPr>
          <w:rFonts w:hint="eastAsia" w:ascii="黑体" w:hAnsi="黑体" w:eastAsia="黑体" w:cs="黑体"/>
          <w:szCs w:val="28"/>
        </w:rPr>
        <w:t>五、磋商报价</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_Toc9141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19D52B18">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_Toc5141 </w:instrText>
      </w:r>
      <w:r>
        <w:rPr>
          <w:rFonts w:hint="eastAsia" w:ascii="黑体" w:hAnsi="黑体" w:eastAsia="黑体" w:cs="黑体"/>
          <w:szCs w:val="32"/>
        </w:rPr>
        <w:fldChar w:fldCharType="separate"/>
      </w:r>
      <w:r>
        <w:rPr>
          <w:rFonts w:hint="eastAsia" w:ascii="黑体" w:hAnsi="黑体" w:eastAsia="黑体" w:cs="黑体"/>
          <w:szCs w:val="28"/>
        </w:rPr>
        <w:t>六、响应文件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_Toc5141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56FFB1C7">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_Toc14846 </w:instrText>
      </w:r>
      <w:r>
        <w:rPr>
          <w:rFonts w:hint="eastAsia" w:ascii="黑体" w:hAnsi="黑体" w:eastAsia="黑体" w:cs="黑体"/>
          <w:szCs w:val="32"/>
        </w:rPr>
        <w:fldChar w:fldCharType="separate"/>
      </w:r>
      <w:r>
        <w:rPr>
          <w:rFonts w:hint="eastAsia" w:ascii="黑体" w:hAnsi="黑体" w:eastAsia="黑体" w:cs="黑体"/>
          <w:szCs w:val="28"/>
        </w:rPr>
        <w:t>七、组织开标</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_Toc14846 </w:instrText>
      </w:r>
      <w:r>
        <w:rPr>
          <w:rFonts w:hint="eastAsia" w:ascii="黑体" w:hAnsi="黑体" w:eastAsia="黑体" w:cs="黑体"/>
        </w:rPr>
        <w:fldChar w:fldCharType="separate"/>
      </w:r>
      <w:r>
        <w:rPr>
          <w:rFonts w:hint="eastAsia" w:ascii="黑体" w:hAnsi="黑体" w:eastAsia="黑体" w:cs="黑体"/>
        </w:rPr>
        <w:t>19</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20CFDB2A">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_Toc14871 </w:instrText>
      </w:r>
      <w:r>
        <w:rPr>
          <w:rFonts w:hint="eastAsia" w:ascii="黑体" w:hAnsi="黑体" w:eastAsia="黑体" w:cs="黑体"/>
          <w:szCs w:val="32"/>
        </w:rPr>
        <w:fldChar w:fldCharType="separate"/>
      </w:r>
      <w:r>
        <w:rPr>
          <w:rFonts w:hint="eastAsia" w:ascii="黑体" w:hAnsi="黑体" w:eastAsia="黑体" w:cs="黑体"/>
          <w:szCs w:val="28"/>
        </w:rPr>
        <w:t>八、组织评审</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_Toc14871 </w:instrText>
      </w:r>
      <w:r>
        <w:rPr>
          <w:rFonts w:hint="eastAsia" w:ascii="黑体" w:hAnsi="黑体" w:eastAsia="黑体" w:cs="黑体"/>
        </w:rPr>
        <w:fldChar w:fldCharType="separate"/>
      </w:r>
      <w:r>
        <w:rPr>
          <w:rFonts w:hint="eastAsia" w:ascii="黑体" w:hAnsi="黑体" w:eastAsia="黑体" w:cs="黑体"/>
        </w:rPr>
        <w:t>20</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5E6CB9E2">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_Toc8062 </w:instrText>
      </w:r>
      <w:r>
        <w:rPr>
          <w:rFonts w:hint="eastAsia" w:ascii="黑体" w:hAnsi="黑体" w:eastAsia="黑体" w:cs="黑体"/>
          <w:szCs w:val="32"/>
        </w:rPr>
        <w:fldChar w:fldCharType="separate"/>
      </w:r>
      <w:r>
        <w:rPr>
          <w:rFonts w:hint="eastAsia" w:ascii="黑体" w:hAnsi="黑体" w:eastAsia="黑体" w:cs="黑体"/>
          <w:szCs w:val="28"/>
        </w:rPr>
        <w:t>九、成交</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_Toc8062 </w:instrText>
      </w:r>
      <w:r>
        <w:rPr>
          <w:rFonts w:hint="eastAsia" w:ascii="黑体" w:hAnsi="黑体" w:eastAsia="黑体" w:cs="黑体"/>
        </w:rPr>
        <w:fldChar w:fldCharType="separate"/>
      </w:r>
      <w:r>
        <w:rPr>
          <w:rFonts w:hint="eastAsia" w:ascii="黑体" w:hAnsi="黑体" w:eastAsia="黑体" w:cs="黑体"/>
        </w:rPr>
        <w:t>33</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78358D4D">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_Toc19622 </w:instrText>
      </w:r>
      <w:r>
        <w:rPr>
          <w:rFonts w:hint="eastAsia" w:ascii="黑体" w:hAnsi="黑体" w:eastAsia="黑体" w:cs="黑体"/>
          <w:szCs w:val="32"/>
        </w:rPr>
        <w:fldChar w:fldCharType="separate"/>
      </w:r>
      <w:r>
        <w:rPr>
          <w:rFonts w:hint="eastAsia" w:ascii="黑体" w:hAnsi="黑体" w:eastAsia="黑体" w:cs="黑体"/>
          <w:szCs w:val="28"/>
        </w:rPr>
        <w:t>十、签订</w:t>
      </w:r>
      <w:r>
        <w:rPr>
          <w:rFonts w:hint="eastAsia" w:ascii="黑体" w:hAnsi="黑体" w:eastAsia="黑体" w:cs="黑体"/>
          <w:kern w:val="0"/>
          <w:szCs w:val="28"/>
        </w:rPr>
        <w:t>政府采购合同</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_Toc19622 </w:instrText>
      </w:r>
      <w:r>
        <w:rPr>
          <w:rFonts w:hint="eastAsia" w:ascii="黑体" w:hAnsi="黑体" w:eastAsia="黑体" w:cs="黑体"/>
        </w:rPr>
        <w:fldChar w:fldCharType="separate"/>
      </w:r>
      <w:r>
        <w:rPr>
          <w:rFonts w:hint="eastAsia" w:ascii="黑体" w:hAnsi="黑体" w:eastAsia="黑体" w:cs="黑体"/>
        </w:rPr>
        <w:t>34</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41DDEB8A">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_Toc16837 </w:instrText>
      </w:r>
      <w:r>
        <w:rPr>
          <w:rFonts w:hint="eastAsia" w:ascii="黑体" w:hAnsi="黑体" w:eastAsia="黑体" w:cs="黑体"/>
          <w:szCs w:val="32"/>
        </w:rPr>
        <w:fldChar w:fldCharType="separate"/>
      </w:r>
      <w:r>
        <w:rPr>
          <w:rFonts w:hint="eastAsia" w:ascii="黑体" w:hAnsi="黑体" w:eastAsia="黑体" w:cs="黑体"/>
          <w:szCs w:val="28"/>
        </w:rPr>
        <w:t>十一、其他</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_Toc16837 </w:instrText>
      </w:r>
      <w:r>
        <w:rPr>
          <w:rFonts w:hint="eastAsia" w:ascii="黑体" w:hAnsi="黑体" w:eastAsia="黑体" w:cs="黑体"/>
        </w:rPr>
        <w:fldChar w:fldCharType="separate"/>
      </w:r>
      <w:r>
        <w:rPr>
          <w:rFonts w:hint="eastAsia" w:ascii="黑体" w:hAnsi="黑体" w:eastAsia="黑体" w:cs="黑体"/>
        </w:rPr>
        <w:t>35</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4F79200B">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_Toc28306 </w:instrText>
      </w:r>
      <w:r>
        <w:rPr>
          <w:rFonts w:hint="eastAsia" w:ascii="黑体" w:hAnsi="黑体" w:eastAsia="黑体" w:cs="黑体"/>
          <w:szCs w:val="32"/>
        </w:rPr>
        <w:fldChar w:fldCharType="separate"/>
      </w:r>
      <w:r>
        <w:rPr>
          <w:rFonts w:hint="eastAsia" w:ascii="黑体" w:hAnsi="黑体" w:eastAsia="黑体" w:cs="黑体"/>
          <w:szCs w:val="28"/>
        </w:rPr>
        <w:t>十二、采购代理服务费：免费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_Toc28306 </w:instrText>
      </w:r>
      <w:r>
        <w:rPr>
          <w:rFonts w:hint="eastAsia" w:ascii="黑体" w:hAnsi="黑体" w:eastAsia="黑体" w:cs="黑体"/>
        </w:rPr>
        <w:fldChar w:fldCharType="separate"/>
      </w:r>
      <w:r>
        <w:rPr>
          <w:rFonts w:hint="eastAsia" w:ascii="黑体" w:hAnsi="黑体" w:eastAsia="黑体" w:cs="黑体"/>
        </w:rPr>
        <w:t>35</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52B8131A">
      <w:pPr>
        <w:pStyle w:val="18"/>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_Toc32224 </w:instrText>
      </w:r>
      <w:r>
        <w:rPr>
          <w:rFonts w:hint="eastAsia" w:ascii="黑体" w:hAnsi="黑体" w:eastAsia="黑体" w:cs="黑体"/>
          <w:szCs w:val="32"/>
        </w:rPr>
        <w:fldChar w:fldCharType="separate"/>
      </w:r>
      <w:r>
        <w:rPr>
          <w:rFonts w:hint="eastAsia" w:ascii="黑体" w:hAnsi="黑体" w:eastAsia="黑体" w:cs="黑体"/>
          <w:bCs/>
          <w:szCs w:val="32"/>
        </w:rPr>
        <w:t>第三章  磋商内容及采购要求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_Toc32224 </w:instrText>
      </w:r>
      <w:r>
        <w:rPr>
          <w:rFonts w:hint="eastAsia" w:ascii="黑体" w:hAnsi="黑体" w:eastAsia="黑体" w:cs="黑体"/>
        </w:rPr>
        <w:fldChar w:fldCharType="separate"/>
      </w:r>
      <w:r>
        <w:rPr>
          <w:rFonts w:hint="eastAsia" w:ascii="黑体" w:hAnsi="黑体" w:eastAsia="黑体" w:cs="黑体"/>
        </w:rPr>
        <w:t>36</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6AD44D3B">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_Toc8262 </w:instrText>
      </w:r>
      <w:r>
        <w:rPr>
          <w:rFonts w:hint="eastAsia" w:ascii="黑体" w:hAnsi="黑体" w:eastAsia="黑体" w:cs="黑体"/>
          <w:szCs w:val="32"/>
        </w:rPr>
        <w:fldChar w:fldCharType="separate"/>
      </w:r>
      <w:r>
        <w:rPr>
          <w:rFonts w:hint="eastAsia" w:ascii="黑体" w:hAnsi="黑体" w:eastAsia="黑体" w:cs="黑体"/>
          <w:szCs w:val="28"/>
        </w:rPr>
        <w:t>一、项目基本情</w:t>
      </w:r>
      <w:r>
        <w:rPr>
          <w:rFonts w:hint="eastAsia" w:ascii="黑体" w:hAnsi="黑体" w:eastAsia="黑体" w:cs="黑体"/>
          <w:szCs w:val="28"/>
          <w:lang w:eastAsia="zh-CN"/>
        </w:rPr>
        <w:t>况</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_Toc8262 </w:instrText>
      </w:r>
      <w:r>
        <w:rPr>
          <w:rFonts w:hint="eastAsia" w:ascii="黑体" w:hAnsi="黑体" w:eastAsia="黑体" w:cs="黑体"/>
        </w:rPr>
        <w:fldChar w:fldCharType="separate"/>
      </w:r>
      <w:r>
        <w:rPr>
          <w:rFonts w:hint="eastAsia" w:ascii="黑体" w:hAnsi="黑体" w:eastAsia="黑体" w:cs="黑体"/>
        </w:rPr>
        <w:t>36</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44DB1B7A">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_Toc21461 </w:instrText>
      </w:r>
      <w:r>
        <w:rPr>
          <w:rFonts w:hint="eastAsia" w:ascii="黑体" w:hAnsi="黑体" w:eastAsia="黑体" w:cs="黑体"/>
          <w:szCs w:val="32"/>
        </w:rPr>
        <w:fldChar w:fldCharType="separate"/>
      </w:r>
      <w:r>
        <w:rPr>
          <w:rFonts w:hint="eastAsia" w:ascii="黑体" w:hAnsi="黑体" w:eastAsia="黑体" w:cs="黑体"/>
          <w:szCs w:val="28"/>
          <w:lang w:eastAsia="zh-CN"/>
        </w:rPr>
        <w:t>二、</w:t>
      </w:r>
      <w:r>
        <w:rPr>
          <w:rFonts w:hint="eastAsia" w:ascii="黑体" w:hAnsi="黑体" w:eastAsia="黑体" w:cs="黑体"/>
          <w:szCs w:val="28"/>
          <w:lang w:val="en-US" w:eastAsia="zh-CN"/>
        </w:rPr>
        <w:t>采购</w:t>
      </w:r>
      <w:r>
        <w:rPr>
          <w:rFonts w:hint="eastAsia" w:ascii="黑体" w:hAnsi="黑体" w:eastAsia="黑体" w:cs="黑体"/>
          <w:szCs w:val="28"/>
          <w:lang w:val="zh-CN" w:eastAsia="zh-CN"/>
        </w:rPr>
        <w:t>内容</w:t>
      </w:r>
      <w:r>
        <w:rPr>
          <w:rFonts w:hint="eastAsia" w:ascii="黑体" w:hAnsi="黑体" w:eastAsia="黑体" w:cs="黑体"/>
          <w:szCs w:val="28"/>
          <w:lang w:val="en-US" w:eastAsia="zh-CN"/>
        </w:rPr>
        <w:t>及要求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_Toc21461 </w:instrText>
      </w:r>
      <w:r>
        <w:rPr>
          <w:rFonts w:hint="eastAsia" w:ascii="黑体" w:hAnsi="黑体" w:eastAsia="黑体" w:cs="黑体"/>
        </w:rPr>
        <w:fldChar w:fldCharType="separate"/>
      </w:r>
      <w:r>
        <w:rPr>
          <w:rFonts w:hint="eastAsia" w:ascii="黑体" w:hAnsi="黑体" w:eastAsia="黑体" w:cs="黑体"/>
        </w:rPr>
        <w:t>36</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73C1DE87">
      <w:pPr>
        <w:pStyle w:val="18"/>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_Toc1489 </w:instrText>
      </w:r>
      <w:r>
        <w:rPr>
          <w:rFonts w:hint="eastAsia" w:ascii="黑体" w:hAnsi="黑体" w:eastAsia="黑体" w:cs="黑体"/>
          <w:szCs w:val="32"/>
        </w:rPr>
        <w:fldChar w:fldCharType="separate"/>
      </w:r>
      <w:r>
        <w:rPr>
          <w:rFonts w:hint="eastAsia" w:ascii="黑体" w:hAnsi="黑体" w:eastAsia="黑体" w:cs="黑体"/>
          <w:bCs/>
          <w:szCs w:val="40"/>
        </w:rPr>
        <w:t>第四章  合同基本条款</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_Toc1489 </w:instrText>
      </w:r>
      <w:r>
        <w:rPr>
          <w:rFonts w:hint="eastAsia" w:ascii="黑体" w:hAnsi="黑体" w:eastAsia="黑体" w:cs="黑体"/>
        </w:rPr>
        <w:fldChar w:fldCharType="separate"/>
      </w:r>
      <w:r>
        <w:rPr>
          <w:rFonts w:hint="eastAsia" w:ascii="黑体" w:hAnsi="黑体" w:eastAsia="黑体" w:cs="黑体"/>
        </w:rPr>
        <w:t>45</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344E51D3">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_Toc29461 </w:instrText>
      </w:r>
      <w:r>
        <w:rPr>
          <w:rFonts w:hint="eastAsia" w:ascii="黑体" w:hAnsi="黑体" w:eastAsia="黑体" w:cs="黑体"/>
          <w:szCs w:val="32"/>
        </w:rPr>
        <w:fldChar w:fldCharType="separate"/>
      </w:r>
      <w:r>
        <w:rPr>
          <w:rFonts w:hint="eastAsia" w:ascii="黑体" w:hAnsi="黑体" w:eastAsia="黑体" w:cs="黑体"/>
          <w:szCs w:val="28"/>
        </w:rPr>
        <w:t>一、</w:t>
      </w:r>
      <w:r>
        <w:rPr>
          <w:rFonts w:hint="eastAsia" w:ascii="黑体" w:hAnsi="黑体" w:eastAsia="黑体" w:cs="黑体"/>
          <w:szCs w:val="28"/>
          <w:lang w:eastAsia="zh-CN"/>
        </w:rPr>
        <w:t>服务</w:t>
      </w:r>
      <w:r>
        <w:rPr>
          <w:rFonts w:hint="eastAsia" w:ascii="黑体" w:hAnsi="黑体" w:eastAsia="黑体" w:cs="黑体"/>
          <w:szCs w:val="28"/>
        </w:rPr>
        <w:t>条件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_Toc29461 </w:instrText>
      </w:r>
      <w:r>
        <w:rPr>
          <w:rFonts w:hint="eastAsia" w:ascii="黑体" w:hAnsi="黑体" w:eastAsia="黑体" w:cs="黑体"/>
        </w:rPr>
        <w:fldChar w:fldCharType="separate"/>
      </w:r>
      <w:r>
        <w:rPr>
          <w:rFonts w:hint="eastAsia" w:ascii="黑体" w:hAnsi="黑体" w:eastAsia="黑体" w:cs="黑体"/>
        </w:rPr>
        <w:t>45</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5D8E836B">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_Toc9748 </w:instrText>
      </w:r>
      <w:r>
        <w:rPr>
          <w:rFonts w:hint="eastAsia" w:ascii="黑体" w:hAnsi="黑体" w:eastAsia="黑体" w:cs="黑体"/>
          <w:szCs w:val="32"/>
        </w:rPr>
        <w:fldChar w:fldCharType="separate"/>
      </w:r>
      <w:r>
        <w:rPr>
          <w:rFonts w:hint="eastAsia" w:ascii="黑体" w:hAnsi="黑体" w:eastAsia="黑体" w:cs="黑体"/>
          <w:szCs w:val="28"/>
        </w:rPr>
        <w:t>二、合同价款</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_Toc9748 </w:instrText>
      </w:r>
      <w:r>
        <w:rPr>
          <w:rFonts w:hint="eastAsia" w:ascii="黑体" w:hAnsi="黑体" w:eastAsia="黑体" w:cs="黑体"/>
        </w:rPr>
        <w:fldChar w:fldCharType="separate"/>
      </w:r>
      <w:r>
        <w:rPr>
          <w:rFonts w:hint="eastAsia" w:ascii="黑体" w:hAnsi="黑体" w:eastAsia="黑体" w:cs="黑体"/>
        </w:rPr>
        <w:t>45</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7F99E526">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_Toc20320 </w:instrText>
      </w:r>
      <w:r>
        <w:rPr>
          <w:rFonts w:hint="eastAsia" w:ascii="黑体" w:hAnsi="黑体" w:eastAsia="黑体" w:cs="黑体"/>
          <w:szCs w:val="32"/>
        </w:rPr>
        <w:fldChar w:fldCharType="separate"/>
      </w:r>
      <w:r>
        <w:rPr>
          <w:rFonts w:hint="eastAsia" w:ascii="黑体" w:hAnsi="黑体" w:eastAsia="黑体" w:cs="黑体"/>
          <w:szCs w:val="28"/>
          <w:highlight w:val="none"/>
        </w:rPr>
        <w:t>三、款项结算</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_Toc20320 </w:instrText>
      </w:r>
      <w:r>
        <w:rPr>
          <w:rFonts w:hint="eastAsia" w:ascii="黑体" w:hAnsi="黑体" w:eastAsia="黑体" w:cs="黑体"/>
        </w:rPr>
        <w:fldChar w:fldCharType="separate"/>
      </w:r>
      <w:r>
        <w:rPr>
          <w:rFonts w:hint="eastAsia" w:ascii="黑体" w:hAnsi="黑体" w:eastAsia="黑体" w:cs="黑体"/>
        </w:rPr>
        <w:t>45</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56FAB71D">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_Toc13457 </w:instrText>
      </w:r>
      <w:r>
        <w:rPr>
          <w:rFonts w:hint="eastAsia" w:ascii="黑体" w:hAnsi="黑体" w:eastAsia="黑体" w:cs="黑体"/>
          <w:szCs w:val="32"/>
        </w:rPr>
        <w:fldChar w:fldCharType="separate"/>
      </w:r>
      <w:r>
        <w:rPr>
          <w:rFonts w:hint="eastAsia" w:ascii="黑体" w:hAnsi="黑体" w:eastAsia="黑体" w:cs="黑体"/>
          <w:szCs w:val="28"/>
          <w:lang w:eastAsia="zh-CN"/>
        </w:rPr>
        <w:t>四</w:t>
      </w:r>
      <w:r>
        <w:rPr>
          <w:rFonts w:hint="eastAsia" w:ascii="黑体" w:hAnsi="黑体" w:eastAsia="黑体" w:cs="黑体"/>
          <w:szCs w:val="28"/>
        </w:rPr>
        <w:t>、</w:t>
      </w:r>
      <w:r>
        <w:rPr>
          <w:rFonts w:hint="eastAsia" w:ascii="黑体" w:hAnsi="黑体" w:eastAsia="黑体" w:cs="黑体"/>
          <w:szCs w:val="28"/>
          <w:lang w:eastAsia="zh-CN"/>
        </w:rPr>
        <w:t>服务保证</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_Toc13457 </w:instrText>
      </w:r>
      <w:r>
        <w:rPr>
          <w:rFonts w:hint="eastAsia" w:ascii="黑体" w:hAnsi="黑体" w:eastAsia="黑体" w:cs="黑体"/>
        </w:rPr>
        <w:fldChar w:fldCharType="separate"/>
      </w:r>
      <w:r>
        <w:rPr>
          <w:rFonts w:hint="eastAsia" w:ascii="黑体" w:hAnsi="黑体" w:eastAsia="黑体" w:cs="黑体"/>
        </w:rPr>
        <w:t>45</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36C45D3C">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_Toc10737 </w:instrText>
      </w:r>
      <w:r>
        <w:rPr>
          <w:rFonts w:hint="eastAsia" w:ascii="黑体" w:hAnsi="黑体" w:eastAsia="黑体" w:cs="黑体"/>
          <w:szCs w:val="32"/>
        </w:rPr>
        <w:fldChar w:fldCharType="separate"/>
      </w:r>
      <w:r>
        <w:rPr>
          <w:rFonts w:hint="eastAsia" w:ascii="黑体" w:hAnsi="黑体" w:eastAsia="黑体" w:cs="黑体"/>
          <w:szCs w:val="28"/>
          <w:lang w:val="en-US" w:eastAsia="zh-CN"/>
        </w:rPr>
        <w:t>五、服务承诺</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_Toc10737 </w:instrText>
      </w:r>
      <w:r>
        <w:rPr>
          <w:rFonts w:hint="eastAsia" w:ascii="黑体" w:hAnsi="黑体" w:eastAsia="黑体" w:cs="黑体"/>
        </w:rPr>
        <w:fldChar w:fldCharType="separate"/>
      </w:r>
      <w:r>
        <w:rPr>
          <w:rFonts w:hint="eastAsia" w:ascii="黑体" w:hAnsi="黑体" w:eastAsia="黑体" w:cs="黑体"/>
        </w:rPr>
        <w:t>45</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4202F27D">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_Toc17000 </w:instrText>
      </w:r>
      <w:r>
        <w:rPr>
          <w:rFonts w:hint="eastAsia" w:ascii="黑体" w:hAnsi="黑体" w:eastAsia="黑体" w:cs="黑体"/>
          <w:szCs w:val="32"/>
        </w:rPr>
        <w:fldChar w:fldCharType="separate"/>
      </w:r>
      <w:r>
        <w:rPr>
          <w:rFonts w:hint="eastAsia" w:ascii="黑体" w:hAnsi="黑体" w:eastAsia="黑体" w:cs="黑体"/>
          <w:szCs w:val="28"/>
          <w:lang w:val="en-US" w:eastAsia="zh-CN"/>
        </w:rPr>
        <w:t>六、违约责任</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_Toc17000 </w:instrText>
      </w:r>
      <w:r>
        <w:rPr>
          <w:rFonts w:hint="eastAsia" w:ascii="黑体" w:hAnsi="黑体" w:eastAsia="黑体" w:cs="黑体"/>
        </w:rPr>
        <w:fldChar w:fldCharType="separate"/>
      </w:r>
      <w:r>
        <w:rPr>
          <w:rFonts w:hint="eastAsia" w:ascii="黑体" w:hAnsi="黑体" w:eastAsia="黑体" w:cs="黑体"/>
        </w:rPr>
        <w:t>45</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5749CA1F">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_Toc6384 </w:instrText>
      </w:r>
      <w:r>
        <w:rPr>
          <w:rFonts w:hint="eastAsia" w:ascii="黑体" w:hAnsi="黑体" w:eastAsia="黑体" w:cs="黑体"/>
          <w:szCs w:val="32"/>
        </w:rPr>
        <w:fldChar w:fldCharType="separate"/>
      </w:r>
      <w:r>
        <w:rPr>
          <w:rFonts w:hint="eastAsia" w:ascii="黑体" w:hAnsi="黑体" w:eastAsia="黑体" w:cs="黑体"/>
          <w:szCs w:val="28"/>
          <w:lang w:eastAsia="zh-CN"/>
        </w:rPr>
        <w:t>七</w:t>
      </w:r>
      <w:r>
        <w:rPr>
          <w:rFonts w:hint="eastAsia" w:ascii="黑体" w:hAnsi="黑体" w:eastAsia="黑体" w:cs="黑体"/>
          <w:szCs w:val="28"/>
        </w:rPr>
        <w:t>、争议解决</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_Toc6384 </w:instrText>
      </w:r>
      <w:r>
        <w:rPr>
          <w:rFonts w:hint="eastAsia" w:ascii="黑体" w:hAnsi="黑体" w:eastAsia="黑体" w:cs="黑体"/>
        </w:rPr>
        <w:fldChar w:fldCharType="separate"/>
      </w:r>
      <w:r>
        <w:rPr>
          <w:rFonts w:hint="eastAsia" w:ascii="黑体" w:hAnsi="黑体" w:eastAsia="黑体" w:cs="黑体"/>
        </w:rPr>
        <w:t>46</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2687A73F">
      <w:pPr>
        <w:pStyle w:val="19"/>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_Toc22660 </w:instrText>
      </w:r>
      <w:r>
        <w:rPr>
          <w:rFonts w:hint="eastAsia" w:ascii="黑体" w:hAnsi="黑体" w:eastAsia="黑体" w:cs="黑体"/>
          <w:szCs w:val="32"/>
        </w:rPr>
        <w:fldChar w:fldCharType="separate"/>
      </w:r>
      <w:r>
        <w:rPr>
          <w:rFonts w:hint="eastAsia" w:ascii="黑体" w:hAnsi="黑体" w:eastAsia="黑体" w:cs="黑体"/>
          <w:szCs w:val="28"/>
          <w:lang w:eastAsia="zh-CN"/>
        </w:rPr>
        <w:t>八</w:t>
      </w:r>
      <w:r>
        <w:rPr>
          <w:rFonts w:hint="eastAsia" w:ascii="黑体" w:hAnsi="黑体" w:eastAsia="黑体" w:cs="黑体"/>
          <w:szCs w:val="28"/>
        </w:rPr>
        <w:t>、合同生效及其他</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_Toc22660 </w:instrText>
      </w:r>
      <w:r>
        <w:rPr>
          <w:rFonts w:hint="eastAsia" w:ascii="黑体" w:hAnsi="黑体" w:eastAsia="黑体" w:cs="黑体"/>
        </w:rPr>
        <w:fldChar w:fldCharType="separate"/>
      </w:r>
      <w:r>
        <w:rPr>
          <w:rFonts w:hint="eastAsia" w:ascii="黑体" w:hAnsi="黑体" w:eastAsia="黑体" w:cs="黑体"/>
        </w:rPr>
        <w:t>46</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797A15B4">
      <w:pPr>
        <w:pStyle w:val="18"/>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_Toc10099 </w:instrText>
      </w:r>
      <w:r>
        <w:rPr>
          <w:rFonts w:hint="eastAsia" w:ascii="黑体" w:hAnsi="黑体" w:eastAsia="黑体" w:cs="黑体"/>
          <w:szCs w:val="32"/>
        </w:rPr>
        <w:fldChar w:fldCharType="separate"/>
      </w:r>
      <w:r>
        <w:rPr>
          <w:rFonts w:hint="eastAsia" w:ascii="黑体" w:hAnsi="黑体" w:eastAsia="黑体" w:cs="黑体"/>
          <w:bCs/>
          <w:szCs w:val="32"/>
        </w:rPr>
        <w:t>第五章  响应文件构成及格式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_Toc10099 </w:instrText>
      </w:r>
      <w:r>
        <w:rPr>
          <w:rFonts w:hint="eastAsia" w:ascii="黑体" w:hAnsi="黑体" w:eastAsia="黑体" w:cs="黑体"/>
        </w:rPr>
        <w:fldChar w:fldCharType="separate"/>
      </w:r>
      <w:r>
        <w:rPr>
          <w:rFonts w:hint="eastAsia" w:ascii="黑体" w:hAnsi="黑体" w:eastAsia="黑体" w:cs="黑体"/>
        </w:rPr>
        <w:t>47</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6C85673E">
      <w:pPr>
        <w:pStyle w:val="18"/>
        <w:tabs>
          <w:tab w:val="right" w:leader="dot" w:pos="9072"/>
        </w:tabs>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_Toc19475 </w:instrText>
      </w:r>
      <w:r>
        <w:rPr>
          <w:rFonts w:hint="eastAsia" w:ascii="黑体" w:hAnsi="黑体" w:eastAsia="黑体" w:cs="黑体"/>
          <w:szCs w:val="32"/>
        </w:rPr>
        <w:fldChar w:fldCharType="separate"/>
      </w:r>
      <w:r>
        <w:rPr>
          <w:rFonts w:hint="eastAsia" w:ascii="黑体" w:hAnsi="黑体" w:eastAsia="黑体" w:cs="黑体"/>
          <w:bCs/>
          <w:szCs w:val="40"/>
        </w:rPr>
        <w:t>第一部分  资格证明文件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_Toc19475 </w:instrText>
      </w:r>
      <w:r>
        <w:rPr>
          <w:rFonts w:hint="eastAsia" w:ascii="黑体" w:hAnsi="黑体" w:eastAsia="黑体" w:cs="黑体"/>
        </w:rPr>
        <w:fldChar w:fldCharType="separate"/>
      </w:r>
      <w:r>
        <w:rPr>
          <w:rFonts w:hint="eastAsia" w:ascii="黑体" w:hAnsi="黑体" w:eastAsia="黑体" w:cs="黑体"/>
        </w:rPr>
        <w:t>50</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374F574F">
      <w:pPr>
        <w:pStyle w:val="19"/>
        <w:tabs>
          <w:tab w:val="right" w:leader="dot" w:pos="9072"/>
        </w:tabs>
        <w:ind w:left="0" w:leftChars="0"/>
        <w:rPr>
          <w:rFonts w:hint="eastAsia" w:ascii="黑体" w:hAnsi="黑体" w:eastAsia="黑体" w:cs="黑体"/>
        </w:rPr>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_Toc15005 </w:instrText>
      </w:r>
      <w:r>
        <w:rPr>
          <w:rFonts w:hint="eastAsia" w:ascii="黑体" w:hAnsi="黑体" w:eastAsia="黑体" w:cs="黑体"/>
          <w:szCs w:val="32"/>
        </w:rPr>
        <w:fldChar w:fldCharType="separate"/>
      </w:r>
      <w:r>
        <w:rPr>
          <w:rFonts w:hint="eastAsia" w:ascii="黑体" w:hAnsi="黑体" w:eastAsia="黑体" w:cs="黑体"/>
        </w:rPr>
        <w:t>第二部分  符合性证明文件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_Toc15005 </w:instrText>
      </w:r>
      <w:r>
        <w:rPr>
          <w:rFonts w:hint="eastAsia" w:ascii="黑体" w:hAnsi="黑体" w:eastAsia="黑体" w:cs="黑体"/>
        </w:rPr>
        <w:fldChar w:fldCharType="separate"/>
      </w:r>
      <w:r>
        <w:rPr>
          <w:rFonts w:hint="eastAsia" w:ascii="黑体" w:hAnsi="黑体" w:eastAsia="黑体" w:cs="黑体"/>
        </w:rPr>
        <w:t>60</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4FBC412A">
      <w:pPr>
        <w:pStyle w:val="19"/>
        <w:tabs>
          <w:tab w:val="right" w:leader="dot" w:pos="9072"/>
        </w:tabs>
        <w:ind w:left="0" w:leftChars="0"/>
      </w:pPr>
      <w:r>
        <w:rPr>
          <w:rFonts w:hint="eastAsia" w:ascii="黑体" w:hAnsi="黑体" w:eastAsia="黑体" w:cs="黑体"/>
          <w:color w:val="auto"/>
          <w:szCs w:val="32"/>
        </w:rPr>
        <w:fldChar w:fldCharType="begin"/>
      </w:r>
      <w:r>
        <w:rPr>
          <w:rFonts w:hint="eastAsia" w:ascii="黑体" w:hAnsi="黑体" w:eastAsia="黑体" w:cs="黑体"/>
          <w:szCs w:val="32"/>
        </w:rPr>
        <w:instrText xml:space="preserve"> HYPERLINK \l _Toc10873 </w:instrText>
      </w:r>
      <w:r>
        <w:rPr>
          <w:rFonts w:hint="eastAsia" w:ascii="黑体" w:hAnsi="黑体" w:eastAsia="黑体" w:cs="黑体"/>
          <w:szCs w:val="32"/>
        </w:rPr>
        <w:fldChar w:fldCharType="separate"/>
      </w:r>
      <w:r>
        <w:rPr>
          <w:rFonts w:hint="eastAsia" w:ascii="黑体" w:hAnsi="黑体" w:eastAsia="黑体" w:cs="黑体"/>
          <w:bCs w:val="0"/>
        </w:rPr>
        <w:t>第三部分  响应</w:t>
      </w:r>
      <w:r>
        <w:rPr>
          <w:rFonts w:hint="eastAsia" w:ascii="黑体" w:hAnsi="黑体" w:eastAsia="黑体" w:cs="黑体"/>
          <w:bCs w:val="0"/>
          <w:lang w:val="en-US" w:eastAsia="zh-CN"/>
        </w:rPr>
        <w:t>性证明文件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_Toc10873 </w:instrText>
      </w:r>
      <w:r>
        <w:rPr>
          <w:rFonts w:hint="eastAsia" w:ascii="黑体" w:hAnsi="黑体" w:eastAsia="黑体" w:cs="黑体"/>
        </w:rPr>
        <w:fldChar w:fldCharType="separate"/>
      </w:r>
      <w:r>
        <w:rPr>
          <w:rFonts w:hint="eastAsia" w:ascii="黑体" w:hAnsi="黑体" w:eastAsia="黑体" w:cs="黑体"/>
        </w:rPr>
        <w:t>69</w:t>
      </w:r>
      <w:r>
        <w:rPr>
          <w:rFonts w:hint="eastAsia" w:ascii="黑体" w:hAnsi="黑体" w:eastAsia="黑体" w:cs="黑体"/>
        </w:rPr>
        <w:fldChar w:fldCharType="end"/>
      </w:r>
      <w:r>
        <w:rPr>
          <w:rFonts w:hint="eastAsia" w:ascii="黑体" w:hAnsi="黑体" w:eastAsia="黑体" w:cs="黑体"/>
          <w:color w:val="auto"/>
          <w:szCs w:val="32"/>
        </w:rPr>
        <w:fldChar w:fldCharType="end"/>
      </w:r>
    </w:p>
    <w:p w14:paraId="77273490">
      <w:pPr>
        <w:pStyle w:val="19"/>
        <w:tabs>
          <w:tab w:val="right" w:leader="dot" w:pos="9072"/>
        </w:tabs>
        <w:ind w:left="567"/>
        <w:rPr>
          <w:rFonts w:ascii="黑体" w:hAnsi="黑体" w:eastAsia="黑体"/>
          <w:color w:val="auto"/>
          <w:szCs w:val="32"/>
        </w:rPr>
      </w:pPr>
      <w:r>
        <w:rPr>
          <w:rFonts w:hint="eastAsia" w:ascii="黑体" w:hAnsi="黑体" w:eastAsia="黑体" w:cs="黑体"/>
          <w:color w:val="auto"/>
          <w:szCs w:val="32"/>
        </w:rPr>
        <w:fldChar w:fldCharType="end"/>
      </w:r>
    </w:p>
    <w:p w14:paraId="5990E0A8">
      <w:pPr>
        <w:pStyle w:val="4"/>
        <w:spacing w:line="500" w:lineRule="exact"/>
        <w:jc w:val="both"/>
        <w:rPr>
          <w:rFonts w:ascii="黑体" w:hAnsi="黑体" w:eastAsia="黑体"/>
          <w:b w:val="0"/>
          <w:color w:val="auto"/>
          <w:sz w:val="32"/>
          <w:szCs w:val="32"/>
        </w:rPr>
        <w:sectPr>
          <w:footerReference r:id="rId6" w:type="default"/>
          <w:pgSz w:w="11906" w:h="16838"/>
          <w:pgMar w:top="1417" w:right="1417" w:bottom="1417" w:left="1417" w:header="850" w:footer="992" w:gutter="0"/>
          <w:pgNumType w:fmt="decimal" w:start="1"/>
          <w:cols w:space="720" w:num="1"/>
          <w:docGrid w:type="linesAndChars" w:linePitch="381" w:charSpace="704"/>
        </w:sectPr>
      </w:pPr>
    </w:p>
    <w:p w14:paraId="4E5084F3">
      <w:pPr>
        <w:pStyle w:val="4"/>
        <w:spacing w:line="500" w:lineRule="exact"/>
        <w:rPr>
          <w:rFonts w:ascii="黑体" w:hAnsi="黑体" w:eastAsia="黑体"/>
          <w:b w:val="0"/>
          <w:color w:val="auto"/>
          <w:sz w:val="32"/>
          <w:szCs w:val="32"/>
        </w:rPr>
      </w:pPr>
      <w:bookmarkStart w:id="4" w:name="_Toc30681"/>
      <w:bookmarkStart w:id="5" w:name="_Toc26573"/>
      <w:bookmarkStart w:id="6" w:name="_Toc661"/>
      <w:r>
        <w:rPr>
          <w:rFonts w:ascii="黑体" w:hAnsi="黑体" w:eastAsia="黑体"/>
          <w:b w:val="0"/>
          <w:color w:val="auto"/>
          <w:sz w:val="32"/>
          <w:szCs w:val="32"/>
        </w:rPr>
        <w:t xml:space="preserve">第一章  </w:t>
      </w:r>
      <w:r>
        <w:rPr>
          <w:rFonts w:hint="eastAsia" w:ascii="黑体" w:hAnsi="黑体" w:eastAsia="黑体"/>
          <w:b w:val="0"/>
          <w:color w:val="auto"/>
          <w:sz w:val="32"/>
          <w:szCs w:val="32"/>
        </w:rPr>
        <w:t>磋商</w:t>
      </w:r>
      <w:r>
        <w:rPr>
          <w:rFonts w:ascii="黑体" w:hAnsi="黑体" w:eastAsia="黑体"/>
          <w:b w:val="0"/>
          <w:color w:val="auto"/>
          <w:sz w:val="32"/>
          <w:szCs w:val="32"/>
        </w:rPr>
        <w:t>邀请函</w:t>
      </w:r>
      <w:bookmarkEnd w:id="1"/>
      <w:bookmarkEnd w:id="2"/>
      <w:bookmarkEnd w:id="3"/>
      <w:bookmarkEnd w:id="4"/>
      <w:bookmarkEnd w:id="5"/>
      <w:bookmarkEnd w:id="6"/>
    </w:p>
    <w:p w14:paraId="46A5081E">
      <w:pPr>
        <w:pStyle w:val="45"/>
        <w:spacing w:line="500" w:lineRule="exact"/>
        <w:ind w:firstLine="567"/>
        <w:rPr>
          <w:rFonts w:ascii="华文仿宋" w:hAnsi="华文仿宋" w:cs="华文仿宋"/>
          <w:color w:val="auto"/>
        </w:rPr>
      </w:pPr>
      <w:r>
        <w:rPr>
          <w:rFonts w:hint="eastAsia" w:ascii="华文仿宋" w:hAnsi="华文仿宋" w:cs="华文仿宋"/>
          <w:color w:val="auto"/>
        </w:rPr>
        <w:t>陕西省省级单位政府采购中心受</w:t>
      </w:r>
      <w:r>
        <w:rPr>
          <w:rFonts w:hint="eastAsia" w:ascii="华文仿宋" w:hAnsi="华文仿宋" w:cs="华文仿宋"/>
          <w:b/>
          <w:bCs/>
          <w:color w:val="auto"/>
          <w:lang w:eastAsia="zh-CN"/>
        </w:rPr>
        <w:t>陕西省信访局</w:t>
      </w:r>
      <w:r>
        <w:rPr>
          <w:rFonts w:hint="eastAsia" w:ascii="华文仿宋" w:hAnsi="华文仿宋" w:cs="华文仿宋"/>
          <w:color w:val="auto"/>
        </w:rPr>
        <w:t>的委托，经政府采购管理部门批准，按照政府采购程序，对</w:t>
      </w:r>
      <w:r>
        <w:rPr>
          <w:rFonts w:hint="eastAsia" w:ascii="华文仿宋" w:hAnsi="华文仿宋" w:cs="华文仿宋"/>
          <w:b/>
          <w:bCs/>
          <w:color w:val="auto"/>
          <w:lang w:eastAsia="zh-CN"/>
        </w:rPr>
        <w:t>陕西省信访局机关物业管理</w:t>
      </w:r>
      <w:r>
        <w:rPr>
          <w:rFonts w:hint="eastAsia" w:ascii="华文仿宋" w:hAnsi="华文仿宋" w:cs="华文仿宋"/>
          <w:b/>
          <w:bCs/>
          <w:color w:val="auto"/>
          <w:lang w:val="en-US" w:eastAsia="zh-CN"/>
        </w:rPr>
        <w:t>服务项目</w:t>
      </w:r>
      <w:r>
        <w:rPr>
          <w:rFonts w:hint="eastAsia" w:ascii="华文仿宋" w:hAnsi="华文仿宋" w:cs="华文仿宋"/>
          <w:color w:val="auto"/>
        </w:rPr>
        <w:t>进行</w:t>
      </w:r>
      <w:r>
        <w:rPr>
          <w:rFonts w:hint="eastAsia" w:ascii="华文仿宋" w:hAnsi="华文仿宋" w:cs="华文仿宋"/>
          <w:b/>
          <w:bCs/>
          <w:color w:val="auto"/>
        </w:rPr>
        <w:t>竞争性磋商</w:t>
      </w:r>
      <w:r>
        <w:rPr>
          <w:rFonts w:hint="eastAsia" w:ascii="华文仿宋" w:hAnsi="华文仿宋" w:cs="华文仿宋"/>
          <w:color w:val="auto"/>
        </w:rPr>
        <w:t>，欢迎符合资格条件的、有能力提供本项目所需服务的供应商参加磋商。</w:t>
      </w:r>
    </w:p>
    <w:p w14:paraId="25362FE0">
      <w:pPr>
        <w:spacing w:line="500" w:lineRule="exact"/>
        <w:ind w:left="566" w:leftChars="200" w:firstLine="0" w:firstLineChars="0"/>
        <w:rPr>
          <w:rFonts w:hint="eastAsia" w:ascii="华文仿宋" w:hAnsi="华文仿宋" w:eastAsia="华文仿宋" w:cs="华文仿宋"/>
          <w:color w:val="auto"/>
          <w:u w:val="single"/>
          <w:lang w:val="en-US" w:eastAsia="zh-CN"/>
        </w:rPr>
      </w:pPr>
      <w:bookmarkStart w:id="7" w:name="_Toc6471"/>
      <w:bookmarkStart w:id="8" w:name="_Toc15046_WPSOffice_Level2"/>
      <w:bookmarkStart w:id="9" w:name="_Toc8775_WPSOffice_Level2"/>
      <w:bookmarkStart w:id="10" w:name="_Toc22804_WPSOffice_Level2"/>
      <w:r>
        <w:rPr>
          <w:rFonts w:hint="eastAsia"/>
          <w:b/>
          <w:bCs/>
          <w:color w:val="auto"/>
        </w:rPr>
        <w:t>一、项目名称：</w:t>
      </w:r>
      <w:bookmarkEnd w:id="7"/>
      <w:bookmarkEnd w:id="8"/>
      <w:bookmarkEnd w:id="9"/>
      <w:bookmarkEnd w:id="10"/>
      <w:r>
        <w:rPr>
          <w:rFonts w:hint="eastAsia"/>
          <w:b w:val="0"/>
          <w:bCs w:val="0"/>
          <w:color w:val="auto"/>
          <w:lang w:eastAsia="zh-CN"/>
        </w:rPr>
        <w:t>陕西省信访局机关物业管理</w:t>
      </w:r>
      <w:r>
        <w:rPr>
          <w:rFonts w:hint="eastAsia"/>
          <w:b w:val="0"/>
          <w:bCs w:val="0"/>
          <w:color w:val="auto"/>
          <w:lang w:val="en-US" w:eastAsia="zh-CN"/>
        </w:rPr>
        <w:t>服务项目</w:t>
      </w:r>
    </w:p>
    <w:p w14:paraId="7EAF70CE">
      <w:pPr>
        <w:spacing w:line="500" w:lineRule="exact"/>
        <w:ind w:firstLine="567"/>
        <w:rPr>
          <w:rFonts w:hint="eastAsia" w:ascii="仿宋" w:hAnsi="仿宋" w:eastAsia="仿宋" w:cs="仿宋"/>
          <w:b w:val="0"/>
          <w:bCs w:val="0"/>
          <w:color w:val="auto"/>
          <w:lang w:val="en-US" w:eastAsia="zh-CN"/>
        </w:rPr>
      </w:pPr>
      <w:bookmarkStart w:id="11" w:name="_Toc619_WPSOffice_Level2"/>
      <w:bookmarkStart w:id="12" w:name="_Toc7698"/>
      <w:bookmarkStart w:id="13" w:name="_Toc28286_WPSOffice_Level2"/>
      <w:bookmarkStart w:id="14" w:name="_Toc181_WPSOffice_Level2"/>
      <w:r>
        <w:rPr>
          <w:rFonts w:hint="eastAsia"/>
          <w:b/>
          <w:bCs/>
          <w:color w:val="auto"/>
        </w:rPr>
        <w:t>二、项目编号：</w:t>
      </w:r>
      <w:bookmarkEnd w:id="11"/>
      <w:bookmarkEnd w:id="12"/>
      <w:bookmarkEnd w:id="13"/>
      <w:bookmarkEnd w:id="14"/>
      <w:bookmarkStart w:id="15" w:name="_Toc22627_WPSOffice_Level2"/>
      <w:bookmarkStart w:id="16" w:name="_Toc23148_WPSOffice_Level2"/>
      <w:bookmarkStart w:id="17" w:name="_Toc7884"/>
      <w:bookmarkStart w:id="18" w:name="_Toc8221_WPSOffice_Level2"/>
      <w:r>
        <w:rPr>
          <w:rFonts w:hint="eastAsia" w:ascii="仿宋" w:hAnsi="仿宋" w:eastAsia="仿宋" w:cs="仿宋"/>
          <w:b w:val="0"/>
          <w:bCs w:val="0"/>
          <w:color w:val="auto"/>
          <w:lang w:val="en-US" w:eastAsia="zh-CN"/>
        </w:rPr>
        <w:t>SNCG-FM-2021004</w:t>
      </w:r>
    </w:p>
    <w:p w14:paraId="41EC9583">
      <w:pPr>
        <w:spacing w:line="500" w:lineRule="exact"/>
        <w:ind w:firstLine="566" w:firstLineChars="200"/>
        <w:rPr>
          <w:rFonts w:hint="default" w:ascii="华文仿宋" w:hAnsi="华文仿宋" w:cs="华文仿宋"/>
          <w:color w:val="auto"/>
          <w:lang w:val="en-US"/>
        </w:rPr>
      </w:pPr>
      <w:r>
        <w:rPr>
          <w:rFonts w:hint="eastAsia"/>
          <w:b/>
          <w:bCs/>
          <w:color w:val="auto"/>
        </w:rPr>
        <w:t>三、采购人：</w:t>
      </w:r>
      <w:bookmarkEnd w:id="15"/>
      <w:bookmarkEnd w:id="16"/>
      <w:bookmarkEnd w:id="17"/>
      <w:bookmarkEnd w:id="18"/>
      <w:r>
        <w:rPr>
          <w:rFonts w:hint="eastAsia"/>
          <w:b w:val="0"/>
          <w:bCs w:val="0"/>
          <w:color w:val="auto"/>
          <w:lang w:eastAsia="zh-CN"/>
        </w:rPr>
        <w:t>陕西省信访局</w:t>
      </w:r>
    </w:p>
    <w:p w14:paraId="65B5A808">
      <w:pPr>
        <w:pStyle w:val="42"/>
        <w:spacing w:line="500" w:lineRule="exact"/>
        <w:rPr>
          <w:rFonts w:hint="eastAsia" w:ascii="华文仿宋" w:hAnsi="华文仿宋" w:eastAsia="华文仿宋" w:cs="华文仿宋"/>
          <w:sz w:val="28"/>
          <w:szCs w:val="28"/>
        </w:rPr>
      </w:pPr>
      <w:r>
        <w:rPr>
          <w:rFonts w:hint="eastAsia" w:ascii="华文仿宋" w:hAnsi="华文仿宋" w:cs="华文仿宋"/>
          <w:color w:val="auto"/>
        </w:rPr>
        <w:t>地址：</w:t>
      </w:r>
      <w:r>
        <w:rPr>
          <w:rFonts w:hint="eastAsia" w:ascii="华文仿宋" w:hAnsi="华文仿宋" w:cs="华文仿宋"/>
          <w:color w:val="auto"/>
          <w:lang w:val="en-US" w:eastAsia="zh-CN"/>
        </w:rPr>
        <w:t>西安市新城区皇城东路6号</w:t>
      </w:r>
    </w:p>
    <w:p w14:paraId="1D4B60D8">
      <w:pPr>
        <w:pStyle w:val="42"/>
        <w:spacing w:line="500" w:lineRule="exact"/>
        <w:rPr>
          <w:rFonts w:hint="eastAsia" w:ascii="华文仿宋" w:hAnsi="华文仿宋" w:eastAsia="华文仿宋" w:cs="华文仿宋"/>
          <w:color w:val="auto"/>
          <w:lang w:val="en-US" w:eastAsia="zh-CN"/>
        </w:rPr>
      </w:pPr>
      <w:r>
        <w:rPr>
          <w:rFonts w:hint="eastAsia" w:ascii="华文仿宋" w:hAnsi="华文仿宋" w:cs="华文仿宋"/>
          <w:color w:val="auto"/>
        </w:rPr>
        <w:t>联系人：</w:t>
      </w:r>
      <w:r>
        <w:rPr>
          <w:rFonts w:hint="eastAsia" w:ascii="华文仿宋" w:hAnsi="华文仿宋" w:cs="华文仿宋"/>
          <w:color w:val="auto"/>
          <w:lang w:eastAsia="zh-CN"/>
        </w:rPr>
        <w:t>路老师</w:t>
      </w:r>
    </w:p>
    <w:p w14:paraId="2374834A">
      <w:pPr>
        <w:pStyle w:val="42"/>
        <w:spacing w:line="500" w:lineRule="exact"/>
        <w:rPr>
          <w:rFonts w:hint="eastAsia" w:ascii="仿宋" w:hAnsi="仿宋" w:eastAsia="仿宋" w:cs="仿宋"/>
          <w:color w:val="auto"/>
          <w:sz w:val="28"/>
          <w:szCs w:val="28"/>
          <w:lang w:val="en-US" w:eastAsia="zh-CN"/>
        </w:rPr>
      </w:pPr>
      <w:r>
        <w:rPr>
          <w:rFonts w:hint="eastAsia" w:ascii="华文仿宋" w:hAnsi="华文仿宋" w:cs="华文仿宋"/>
          <w:color w:val="auto"/>
        </w:rPr>
        <w:t>联系方式：</w:t>
      </w:r>
      <w:r>
        <w:rPr>
          <w:rFonts w:hint="eastAsia" w:ascii="华文仿宋" w:hAnsi="华文仿宋" w:cs="华文仿宋"/>
          <w:color w:val="auto"/>
          <w:lang w:val="en-US" w:eastAsia="zh-CN"/>
        </w:rPr>
        <w:t>029-63918018</w:t>
      </w:r>
    </w:p>
    <w:p w14:paraId="102875DD">
      <w:pPr>
        <w:tabs>
          <w:tab w:val="left" w:pos="1620"/>
        </w:tabs>
        <w:snapToGrid w:val="0"/>
        <w:spacing w:line="500" w:lineRule="exact"/>
        <w:ind w:firstLine="566" w:firstLineChars="200"/>
        <w:rPr>
          <w:rFonts w:ascii="华文仿宋" w:hAnsi="华文仿宋" w:cs="华文仿宋"/>
          <w:color w:val="auto"/>
        </w:rPr>
      </w:pPr>
      <w:bookmarkStart w:id="19" w:name="_Toc15035"/>
      <w:bookmarkStart w:id="20" w:name="_Toc21690_WPSOffice_Level2"/>
      <w:bookmarkStart w:id="21" w:name="_Toc17483_WPSOffice_Level2"/>
      <w:bookmarkStart w:id="22" w:name="_Toc15994_WPSOffice_Level2"/>
      <w:r>
        <w:rPr>
          <w:rFonts w:hint="eastAsia"/>
          <w:b/>
          <w:bCs/>
          <w:color w:val="auto"/>
        </w:rPr>
        <w:t>四、采购代理机构：</w:t>
      </w:r>
      <w:bookmarkEnd w:id="19"/>
      <w:r>
        <w:rPr>
          <w:rFonts w:hint="eastAsia" w:ascii="华文仿宋" w:hAnsi="华文仿宋" w:cs="华文仿宋"/>
          <w:color w:val="auto"/>
          <w:lang w:val="zh-CN"/>
        </w:rPr>
        <w:t>陕西省省级单位政府采购中心</w:t>
      </w:r>
      <w:bookmarkEnd w:id="20"/>
      <w:bookmarkEnd w:id="21"/>
      <w:bookmarkEnd w:id="22"/>
    </w:p>
    <w:p w14:paraId="09779E00">
      <w:pPr>
        <w:tabs>
          <w:tab w:val="left" w:pos="1620"/>
        </w:tabs>
        <w:snapToGrid w:val="0"/>
        <w:spacing w:line="500" w:lineRule="exact"/>
        <w:ind w:firstLine="1132" w:firstLineChars="400"/>
        <w:rPr>
          <w:rFonts w:ascii="华文仿宋" w:hAnsi="华文仿宋" w:cs="华文仿宋"/>
          <w:color w:val="auto"/>
          <w:kern w:val="0"/>
        </w:rPr>
      </w:pPr>
      <w:r>
        <w:rPr>
          <w:rFonts w:hint="eastAsia" w:ascii="华文仿宋" w:hAnsi="华文仿宋" w:cs="华文仿宋"/>
          <w:color w:val="auto"/>
          <w:kern w:val="0"/>
        </w:rPr>
        <w:t>地址：</w:t>
      </w:r>
      <w:r>
        <w:rPr>
          <w:rFonts w:hint="eastAsia" w:ascii="华文仿宋" w:hAnsi="华文仿宋" w:cs="华文仿宋"/>
          <w:color w:val="auto"/>
        </w:rPr>
        <w:t>西安市碑林区长安北路14号</w:t>
      </w:r>
    </w:p>
    <w:p w14:paraId="53CA8914">
      <w:pPr>
        <w:tabs>
          <w:tab w:val="left" w:pos="1620"/>
        </w:tabs>
        <w:snapToGrid w:val="0"/>
        <w:spacing w:line="500" w:lineRule="exact"/>
        <w:ind w:firstLine="1132" w:firstLineChars="400"/>
        <w:rPr>
          <w:rFonts w:ascii="华文仿宋" w:hAnsi="华文仿宋" w:cs="华文仿宋"/>
          <w:color w:val="auto"/>
          <w:kern w:val="0"/>
        </w:rPr>
      </w:pPr>
      <w:r>
        <w:rPr>
          <w:rFonts w:hint="eastAsia" w:ascii="华文仿宋" w:hAnsi="华文仿宋" w:cs="华文仿宋"/>
          <w:color w:val="auto"/>
          <w:kern w:val="0"/>
        </w:rPr>
        <w:t>联系人：</w:t>
      </w:r>
      <w:r>
        <w:rPr>
          <w:rFonts w:hint="eastAsia" w:ascii="华文仿宋" w:hAnsi="华文仿宋" w:cs="华文仿宋"/>
          <w:color w:val="auto"/>
          <w:kern w:val="0"/>
          <w:lang w:eastAsia="zh-CN"/>
        </w:rPr>
        <w:t>吕老师</w:t>
      </w:r>
      <w:r>
        <w:rPr>
          <w:rFonts w:hint="eastAsia" w:ascii="华文仿宋" w:hAnsi="华文仿宋" w:cs="华文仿宋"/>
          <w:color w:val="auto"/>
        </w:rPr>
        <w:t xml:space="preserve"> </w:t>
      </w:r>
      <w:r>
        <w:rPr>
          <w:rFonts w:hint="eastAsia" w:ascii="华文仿宋" w:hAnsi="华文仿宋" w:cs="华文仿宋"/>
          <w:color w:val="auto"/>
          <w:kern w:val="0"/>
        </w:rPr>
        <w:t xml:space="preserve"> </w:t>
      </w:r>
    </w:p>
    <w:p w14:paraId="1BAC903B">
      <w:pPr>
        <w:tabs>
          <w:tab w:val="left" w:pos="1620"/>
        </w:tabs>
        <w:snapToGrid w:val="0"/>
        <w:spacing w:line="500" w:lineRule="exact"/>
        <w:ind w:firstLine="1132" w:firstLineChars="400"/>
        <w:rPr>
          <w:rFonts w:hint="eastAsia" w:ascii="仿宋" w:hAnsi="仿宋" w:eastAsia="仿宋" w:cs="仿宋"/>
          <w:color w:val="auto"/>
          <w:lang w:val="en-US"/>
        </w:rPr>
      </w:pPr>
      <w:r>
        <w:rPr>
          <w:rFonts w:hint="eastAsia" w:ascii="华文仿宋" w:hAnsi="华文仿宋" w:cs="华文仿宋"/>
          <w:color w:val="auto"/>
          <w:kern w:val="0"/>
        </w:rPr>
        <w:t>联系方式：</w:t>
      </w:r>
      <w:r>
        <w:rPr>
          <w:rFonts w:hint="eastAsia" w:ascii="仿宋" w:hAnsi="仿宋" w:eastAsia="仿宋" w:cs="仿宋"/>
          <w:color w:val="auto"/>
        </w:rPr>
        <w:t>029-8866</w:t>
      </w:r>
      <w:r>
        <w:rPr>
          <w:rFonts w:hint="eastAsia" w:ascii="仿宋" w:hAnsi="仿宋" w:eastAsia="仿宋" w:cs="仿宋"/>
          <w:color w:val="auto"/>
          <w:lang w:val="en-US"/>
        </w:rPr>
        <w:t>1294</w:t>
      </w:r>
    </w:p>
    <w:p w14:paraId="50D17388">
      <w:pPr>
        <w:tabs>
          <w:tab w:val="left" w:pos="1620"/>
        </w:tabs>
        <w:snapToGrid w:val="0"/>
        <w:spacing w:line="500" w:lineRule="exact"/>
        <w:ind w:firstLine="566" w:firstLineChars="200"/>
        <w:rPr>
          <w:rFonts w:hint="eastAsia"/>
          <w:b/>
          <w:bCs/>
          <w:color w:val="auto"/>
        </w:rPr>
      </w:pPr>
      <w:bookmarkStart w:id="23" w:name="_Toc30103_WPSOffice_Level2"/>
      <w:bookmarkStart w:id="24" w:name="_Toc29947_WPSOffice_Level2"/>
      <w:bookmarkStart w:id="25" w:name="_Toc27211"/>
      <w:bookmarkStart w:id="26" w:name="_Toc31311_WPSOffice_Level2"/>
      <w:r>
        <w:rPr>
          <w:rFonts w:hint="eastAsia"/>
          <w:b/>
          <w:bCs/>
          <w:color w:val="auto"/>
        </w:rPr>
        <w:t>五、磋商内容和要求</w:t>
      </w:r>
      <w:bookmarkEnd w:id="23"/>
      <w:bookmarkEnd w:id="24"/>
      <w:bookmarkEnd w:id="25"/>
      <w:bookmarkEnd w:id="26"/>
    </w:p>
    <w:p w14:paraId="02A506D1">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lang w:val="en-US" w:eastAsia="zh-CN"/>
        </w:rPr>
      </w:pPr>
      <w:r>
        <w:rPr>
          <w:rFonts w:hint="eastAsia"/>
          <w:lang w:val="en-US" w:eastAsia="zh-CN"/>
        </w:rPr>
        <w:t>本项目是局机关物业管理服务采购项目。采购内容：人员16名，工作要求：</w:t>
      </w:r>
      <w:r>
        <w:rPr>
          <w:rFonts w:hint="eastAsia"/>
          <w:lang w:val="zh-CN" w:eastAsia="zh-CN"/>
        </w:rPr>
        <w:t>环境卫生、绿化管理、家属院环境卫生、保安服务、家属院门岗。</w:t>
      </w:r>
      <w:r>
        <w:rPr>
          <w:rFonts w:hint="eastAsia" w:ascii="华文仿宋" w:hAnsi="华文仿宋" w:cs="华文仿宋"/>
          <w:color w:val="auto"/>
          <w:lang w:val="en-US" w:eastAsia="zh-CN"/>
        </w:rPr>
        <w:t>本项目服务期一年。根据财政部关于政府购买服务有关要求，本项目在合同期满前，采购人将对成交供应商进行考核，根据服务满意程度，采购人有权决定是否续签合同，累计合同履行期限不超过3年。（详见第三章磋商内容及采购要求）</w:t>
      </w:r>
    </w:p>
    <w:p w14:paraId="6AE32B3F">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default" w:eastAsia="华文仿宋"/>
          <w:color w:val="auto"/>
          <w:highlight w:val="yellow"/>
          <w:lang w:val="en-US" w:eastAsia="zh-CN"/>
        </w:rPr>
      </w:pPr>
      <w:r>
        <w:rPr>
          <w:rFonts w:hint="eastAsia"/>
          <w:lang w:val="en-US" w:eastAsia="zh-CN"/>
        </w:rPr>
        <w:t xml:space="preserve">    </w:t>
      </w:r>
      <w:bookmarkStart w:id="27" w:name="_Toc12629_WPSOffice_Level2"/>
      <w:bookmarkStart w:id="28" w:name="_Toc30835"/>
      <w:bookmarkStart w:id="29" w:name="_Toc12339_WPSOffice_Level2"/>
      <w:bookmarkStart w:id="30" w:name="_Toc3118_WPSOffice_Level2"/>
      <w:r>
        <w:rPr>
          <w:rFonts w:hint="eastAsia"/>
          <w:b/>
          <w:bCs/>
          <w:color w:val="auto"/>
        </w:rPr>
        <w:t>六、项目性质</w:t>
      </w:r>
      <w:r>
        <w:rPr>
          <w:rFonts w:hint="eastAsia"/>
          <w:color w:val="auto"/>
        </w:rPr>
        <w:t>：</w:t>
      </w:r>
      <w:bookmarkEnd w:id="27"/>
      <w:bookmarkEnd w:id="28"/>
      <w:bookmarkEnd w:id="29"/>
      <w:bookmarkEnd w:id="30"/>
      <w:r>
        <w:rPr>
          <w:rFonts w:hint="eastAsia"/>
          <w:b/>
          <w:bCs/>
          <w:color w:val="auto"/>
          <w:highlight w:val="none"/>
          <w:lang w:val="en-US" w:eastAsia="zh-CN"/>
        </w:rPr>
        <w:t>财政拨款</w:t>
      </w:r>
    </w:p>
    <w:p w14:paraId="3BE745D9">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b/>
          <w:bCs/>
          <w:color w:val="auto"/>
        </w:rPr>
      </w:pPr>
      <w:bookmarkStart w:id="31" w:name="_Toc11840_WPSOffice_Level2"/>
      <w:bookmarkStart w:id="32" w:name="_Toc21454_WPSOffice_Level2"/>
      <w:bookmarkStart w:id="33" w:name="_Toc30539_WPSOffice_Level2"/>
      <w:bookmarkStart w:id="34" w:name="_Toc17056"/>
      <w:r>
        <w:rPr>
          <w:rFonts w:hint="eastAsia"/>
          <w:b/>
          <w:bCs/>
          <w:color w:val="auto"/>
        </w:rPr>
        <w:t>七、采购预算：</w:t>
      </w:r>
      <w:bookmarkEnd w:id="31"/>
      <w:bookmarkEnd w:id="32"/>
      <w:bookmarkEnd w:id="33"/>
      <w:r>
        <w:rPr>
          <w:rFonts w:hint="eastAsia" w:ascii="仿宋" w:hAnsi="仿宋" w:eastAsia="仿宋" w:cs="仿宋"/>
          <w:b/>
          <w:bCs/>
          <w:color w:val="auto"/>
          <w:lang w:val="en-US" w:eastAsia="zh-CN"/>
        </w:rPr>
        <w:t>60</w:t>
      </w:r>
      <w:r>
        <w:rPr>
          <w:rFonts w:hint="eastAsia"/>
          <w:b/>
          <w:bCs/>
          <w:color w:val="auto"/>
        </w:rPr>
        <w:t>万元</w:t>
      </w:r>
      <w:bookmarkEnd w:id="34"/>
    </w:p>
    <w:p w14:paraId="52DECEA9">
      <w:pPr>
        <w:ind w:firstLine="566" w:firstLineChars="200"/>
        <w:rPr>
          <w:rFonts w:hint="default"/>
          <w:lang w:val="en-US" w:eastAsia="zh-CN"/>
        </w:rPr>
      </w:pPr>
      <w:bookmarkStart w:id="35" w:name="_Toc27431"/>
      <w:r>
        <w:rPr>
          <w:rFonts w:hint="eastAsia"/>
          <w:b/>
          <w:bCs/>
          <w:lang w:val="en-US" w:eastAsia="zh-CN"/>
        </w:rPr>
        <w:t>八、所属行业：物业管理</w:t>
      </w:r>
      <w:bookmarkEnd w:id="35"/>
    </w:p>
    <w:p w14:paraId="73D7ED34">
      <w:pPr>
        <w:spacing w:line="500" w:lineRule="exact"/>
        <w:ind w:firstLine="566" w:firstLineChars="200"/>
        <w:rPr>
          <w:b/>
          <w:bCs/>
          <w:color w:val="auto"/>
        </w:rPr>
      </w:pPr>
      <w:bookmarkStart w:id="36" w:name="_Toc9917_WPSOffice_Level2"/>
      <w:bookmarkStart w:id="37" w:name="_Toc6459_WPSOffice_Level2"/>
      <w:bookmarkStart w:id="38" w:name="_Toc14570_WPSOffice_Level2"/>
      <w:bookmarkStart w:id="39" w:name="_Toc25753"/>
      <w:r>
        <w:rPr>
          <w:rFonts w:hint="eastAsia"/>
          <w:b/>
          <w:bCs/>
          <w:color w:val="auto"/>
          <w:lang w:val="en-US" w:eastAsia="zh-CN"/>
        </w:rPr>
        <w:t>九</w:t>
      </w:r>
      <w:r>
        <w:rPr>
          <w:rFonts w:hint="eastAsia"/>
          <w:b/>
          <w:bCs/>
          <w:color w:val="auto"/>
        </w:rPr>
        <w:t>、供应商资格要求</w:t>
      </w:r>
      <w:bookmarkEnd w:id="36"/>
      <w:bookmarkEnd w:id="37"/>
      <w:bookmarkEnd w:id="38"/>
      <w:bookmarkEnd w:id="39"/>
    </w:p>
    <w:p w14:paraId="1F35ACA3">
      <w:pPr>
        <w:spacing w:line="500" w:lineRule="exact"/>
        <w:ind w:firstLine="566" w:firstLineChars="200"/>
        <w:rPr>
          <w:rFonts w:ascii="华文仿宋" w:hAnsi="华文仿宋" w:cs="华文仿宋"/>
          <w:color w:val="auto"/>
        </w:rPr>
      </w:pPr>
      <w:r>
        <w:rPr>
          <w:rFonts w:hint="eastAsia" w:ascii="华文仿宋" w:hAnsi="华文仿宋" w:cs="华文仿宋"/>
          <w:color w:val="auto"/>
          <w:lang w:val="en-US" w:eastAsia="zh-CN"/>
        </w:rPr>
        <w:t>满足</w:t>
      </w:r>
      <w:r>
        <w:rPr>
          <w:rFonts w:hint="eastAsia" w:ascii="华文仿宋" w:hAnsi="华文仿宋" w:cs="华文仿宋"/>
          <w:color w:val="auto"/>
        </w:rPr>
        <w:t>《中华人民共和国政府采购法》第二十二条的规定，并提供下列材料：</w:t>
      </w:r>
    </w:p>
    <w:p w14:paraId="1360C9C5">
      <w:pPr>
        <w:spacing w:line="500" w:lineRule="exact"/>
        <w:ind w:firstLine="566" w:firstLineChars="200"/>
        <w:rPr>
          <w:rFonts w:ascii="华文仿宋" w:hAnsi="华文仿宋" w:cs="华文仿宋"/>
          <w:color w:val="auto"/>
        </w:rPr>
      </w:pPr>
      <w:r>
        <w:rPr>
          <w:rFonts w:hint="eastAsia" w:ascii="仿宋" w:hAnsi="仿宋" w:eastAsia="仿宋" w:cs="仿宋"/>
          <w:color w:val="auto"/>
        </w:rPr>
        <w:t>1</w:t>
      </w:r>
      <w:r>
        <w:rPr>
          <w:rFonts w:hint="eastAsia" w:ascii="华文仿宋" w:hAnsi="华文仿宋" w:cs="华文仿宋"/>
          <w:color w:val="auto"/>
        </w:rPr>
        <w:t>、营业执照等主体资格证明文件：提供有效存续的企业营业执照（副本）/事业单位法人证书/专业服务机构执业许可证/民办非企业单位登记证书。</w:t>
      </w:r>
    </w:p>
    <w:p w14:paraId="2F5AEEA0">
      <w:pPr>
        <w:spacing w:line="500" w:lineRule="exact"/>
        <w:ind w:firstLine="566" w:firstLineChars="200"/>
        <w:rPr>
          <w:rFonts w:ascii="华文仿宋" w:hAnsi="华文仿宋" w:cs="华文仿宋"/>
          <w:color w:val="auto"/>
        </w:rPr>
      </w:pPr>
      <w:r>
        <w:rPr>
          <w:rFonts w:hint="eastAsia" w:ascii="仿宋" w:hAnsi="仿宋" w:eastAsia="仿宋" w:cs="仿宋"/>
          <w:color w:val="auto"/>
        </w:rPr>
        <w:t>2</w:t>
      </w:r>
      <w:r>
        <w:rPr>
          <w:rFonts w:hint="eastAsia" w:ascii="华文仿宋" w:hAnsi="华文仿宋" w:cs="华文仿宋"/>
          <w:color w:val="auto"/>
        </w:rPr>
        <w:t>、财务状况报告：提供</w:t>
      </w:r>
      <w:r>
        <w:rPr>
          <w:rFonts w:hint="eastAsia" w:ascii="仿宋" w:hAnsi="仿宋" w:eastAsia="仿宋" w:cs="仿宋"/>
          <w:color w:val="auto"/>
        </w:rPr>
        <w:t>2019</w:t>
      </w:r>
      <w:r>
        <w:rPr>
          <w:rFonts w:hint="eastAsia" w:ascii="华文仿宋" w:hAnsi="华文仿宋" w:cs="华文仿宋"/>
          <w:color w:val="auto"/>
        </w:rPr>
        <w:t>年度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p>
    <w:p w14:paraId="72D621C4">
      <w:pPr>
        <w:spacing w:line="500" w:lineRule="exact"/>
        <w:ind w:firstLine="566" w:firstLineChars="200"/>
        <w:rPr>
          <w:rFonts w:ascii="华文仿宋" w:hAnsi="华文仿宋" w:cs="华文仿宋"/>
          <w:color w:val="auto"/>
        </w:rPr>
      </w:pPr>
      <w:r>
        <w:rPr>
          <w:rFonts w:hint="eastAsia" w:ascii="仿宋" w:hAnsi="仿宋" w:eastAsia="仿宋" w:cs="仿宋"/>
          <w:color w:val="auto"/>
        </w:rPr>
        <w:t>3</w:t>
      </w:r>
      <w:r>
        <w:rPr>
          <w:rFonts w:hint="eastAsia" w:ascii="华文仿宋" w:hAnsi="华文仿宋" w:cs="华文仿宋"/>
          <w:color w:val="auto"/>
        </w:rPr>
        <w:t>、社保缴纳证明：</w:t>
      </w:r>
      <w:r>
        <w:rPr>
          <w:rFonts w:hint="eastAsia" w:ascii="华文仿宋" w:hAnsi="华文仿宋" w:cs="华文仿宋"/>
          <w:color w:val="auto"/>
          <w:lang w:eastAsia="zh-CN"/>
        </w:rPr>
        <w:t>提供已缴存的</w:t>
      </w:r>
      <w:r>
        <w:rPr>
          <w:rFonts w:hint="eastAsia" w:ascii="仿宋" w:hAnsi="仿宋" w:eastAsia="仿宋" w:cs="仿宋"/>
          <w:color w:val="auto"/>
        </w:rPr>
        <w:t>20</w:t>
      </w:r>
      <w:r>
        <w:rPr>
          <w:rFonts w:hint="eastAsia" w:ascii="仿宋" w:hAnsi="仿宋" w:eastAsia="仿宋" w:cs="仿宋"/>
          <w:color w:val="auto"/>
          <w:lang w:val="en-US" w:eastAsia="zh-CN"/>
        </w:rPr>
        <w:t>20</w:t>
      </w:r>
      <w:r>
        <w:rPr>
          <w:rFonts w:hint="eastAsia" w:ascii="华文仿宋" w:hAnsi="华文仿宋" w:cs="华文仿宋"/>
          <w:color w:val="auto"/>
        </w:rPr>
        <w:t>年</w:t>
      </w:r>
      <w:r>
        <w:rPr>
          <w:rFonts w:hint="eastAsia" w:ascii="仿宋" w:hAnsi="仿宋" w:eastAsia="仿宋" w:cs="仿宋"/>
          <w:color w:val="auto"/>
          <w:lang w:val="en-US" w:eastAsia="zh-CN"/>
        </w:rPr>
        <w:t>7</w:t>
      </w:r>
      <w:r>
        <w:rPr>
          <w:rFonts w:hint="eastAsia" w:ascii="华文仿宋" w:hAnsi="华文仿宋" w:cs="华文仿宋"/>
          <w:color w:val="auto"/>
        </w:rPr>
        <w:t>月</w:t>
      </w:r>
      <w:r>
        <w:rPr>
          <w:rFonts w:hint="eastAsia" w:ascii="仿宋" w:hAnsi="仿宋" w:eastAsia="仿宋" w:cs="仿宋"/>
          <w:color w:val="auto"/>
        </w:rPr>
        <w:t>1</w:t>
      </w:r>
      <w:r>
        <w:rPr>
          <w:rFonts w:hint="eastAsia" w:ascii="华文仿宋" w:hAnsi="华文仿宋" w:cs="华文仿宋"/>
          <w:color w:val="auto"/>
        </w:rPr>
        <w:t>日以来至少一个月的社会保障资金缴存单据或社保机构开具的社会保险参保缴费情况证明。依法不需要缴纳社会保障资金的供应商应提供相关文件证明。</w:t>
      </w:r>
    </w:p>
    <w:p w14:paraId="51D938F6">
      <w:pPr>
        <w:spacing w:line="500" w:lineRule="exact"/>
        <w:ind w:firstLine="566" w:firstLineChars="200"/>
        <w:rPr>
          <w:rFonts w:ascii="华文仿宋" w:hAnsi="华文仿宋" w:cs="华文仿宋"/>
          <w:color w:val="auto"/>
        </w:rPr>
      </w:pPr>
      <w:r>
        <w:rPr>
          <w:rFonts w:hint="eastAsia" w:ascii="仿宋" w:hAnsi="仿宋" w:eastAsia="仿宋" w:cs="仿宋"/>
          <w:color w:val="auto"/>
        </w:rPr>
        <w:t>4</w:t>
      </w:r>
      <w:r>
        <w:rPr>
          <w:rFonts w:hint="eastAsia" w:ascii="华文仿宋" w:hAnsi="华文仿宋" w:cs="华文仿宋"/>
          <w:color w:val="auto"/>
        </w:rPr>
        <w:t>、税收缴纳证明：</w:t>
      </w:r>
      <w:r>
        <w:rPr>
          <w:rFonts w:hint="eastAsia" w:ascii="华文仿宋" w:hAnsi="华文仿宋" w:cs="华文仿宋"/>
          <w:color w:val="auto"/>
          <w:lang w:eastAsia="zh-CN"/>
        </w:rPr>
        <w:t>提供已</w:t>
      </w:r>
      <w:r>
        <w:rPr>
          <w:rFonts w:hint="eastAsia" w:ascii="华文仿宋" w:hAnsi="华文仿宋" w:cs="华文仿宋"/>
          <w:color w:val="auto"/>
          <w:lang w:val="en-US" w:eastAsia="zh-CN"/>
        </w:rPr>
        <w:t>缴纳</w:t>
      </w:r>
      <w:r>
        <w:rPr>
          <w:rFonts w:hint="eastAsia" w:ascii="华文仿宋" w:hAnsi="华文仿宋" w:cs="华文仿宋"/>
          <w:color w:val="auto"/>
          <w:lang w:eastAsia="zh-CN"/>
        </w:rPr>
        <w:t>的</w:t>
      </w:r>
      <w:r>
        <w:rPr>
          <w:rFonts w:hint="eastAsia" w:ascii="仿宋" w:hAnsi="仿宋" w:eastAsia="仿宋" w:cs="仿宋"/>
          <w:color w:val="auto"/>
        </w:rPr>
        <w:t>20</w:t>
      </w:r>
      <w:r>
        <w:rPr>
          <w:rFonts w:hint="eastAsia" w:ascii="仿宋" w:hAnsi="仿宋" w:eastAsia="仿宋" w:cs="仿宋"/>
          <w:color w:val="auto"/>
          <w:lang w:val="en-US" w:eastAsia="zh-CN"/>
        </w:rPr>
        <w:t>20</w:t>
      </w:r>
      <w:r>
        <w:rPr>
          <w:rFonts w:hint="eastAsia" w:ascii="华文仿宋" w:hAnsi="华文仿宋" w:cs="华文仿宋"/>
          <w:color w:val="auto"/>
        </w:rPr>
        <w:t>年</w:t>
      </w:r>
      <w:r>
        <w:rPr>
          <w:rFonts w:hint="eastAsia" w:ascii="仿宋" w:hAnsi="仿宋" w:eastAsia="仿宋" w:cs="仿宋"/>
          <w:color w:val="auto"/>
          <w:lang w:val="en-US" w:eastAsia="zh-CN"/>
        </w:rPr>
        <w:t>7</w:t>
      </w:r>
      <w:r>
        <w:rPr>
          <w:rFonts w:hint="eastAsia" w:ascii="华文仿宋" w:hAnsi="华文仿宋" w:cs="华文仿宋"/>
          <w:color w:val="auto"/>
        </w:rPr>
        <w:t>月</w:t>
      </w:r>
      <w:r>
        <w:rPr>
          <w:rFonts w:hint="eastAsia" w:ascii="仿宋" w:hAnsi="仿宋" w:eastAsia="仿宋" w:cs="仿宋"/>
          <w:color w:val="auto"/>
        </w:rPr>
        <w:t>1</w:t>
      </w:r>
      <w:r>
        <w:rPr>
          <w:rFonts w:hint="eastAsia" w:ascii="华文仿宋" w:hAnsi="华文仿宋" w:cs="华文仿宋"/>
          <w:color w:val="auto"/>
        </w:rPr>
        <w:t>日以来至少一个月的纳税证明或完税证明（提供增值税、企业所得税至少一种），纳税证明或完税证明上应有代收机构或税务机关的公章或业务专用章。依法免税的供应商应提供相关文件证明。</w:t>
      </w:r>
    </w:p>
    <w:p w14:paraId="03194B8C">
      <w:pPr>
        <w:spacing w:line="500" w:lineRule="exact"/>
        <w:ind w:firstLine="566" w:firstLineChars="200"/>
        <w:rPr>
          <w:rFonts w:hint="eastAsia" w:ascii="华文仿宋" w:hAnsi="华文仿宋" w:cs="华文仿宋"/>
          <w:color w:val="auto"/>
        </w:rPr>
      </w:pPr>
      <w:r>
        <w:rPr>
          <w:rFonts w:hint="eastAsia" w:ascii="仿宋" w:hAnsi="仿宋" w:eastAsia="仿宋" w:cs="仿宋"/>
          <w:color w:val="auto"/>
        </w:rPr>
        <w:t>5</w:t>
      </w:r>
      <w:r>
        <w:rPr>
          <w:rFonts w:hint="eastAsia" w:ascii="华文仿宋" w:hAnsi="华文仿宋" w:cs="华文仿宋"/>
          <w:color w:val="auto"/>
        </w:rPr>
        <w:t>、信用记录：</w:t>
      </w:r>
      <w:r>
        <w:rPr>
          <w:rFonts w:hint="eastAsia" w:ascii="华文仿宋" w:hAnsi="华文仿宋" w:cs="华文仿宋"/>
          <w:color w:val="auto"/>
          <w:lang w:val="en-US" w:eastAsia="zh-CN"/>
        </w:rPr>
        <w:t>提供</w:t>
      </w:r>
      <w:r>
        <w:rPr>
          <w:rFonts w:hint="eastAsia" w:ascii="华文仿宋" w:hAnsi="华文仿宋" w:cs="华文仿宋"/>
          <w:color w:val="auto"/>
        </w:rPr>
        <w:t>参加本次政府采购活动前</w:t>
      </w:r>
      <w:r>
        <w:rPr>
          <w:rFonts w:hint="eastAsia" w:ascii="华文仿宋" w:hAnsi="华文仿宋" w:eastAsia="华文仿宋" w:cs="华文仿宋"/>
          <w:color w:val="auto"/>
        </w:rPr>
        <w:t>3</w:t>
      </w:r>
      <w:r>
        <w:rPr>
          <w:rFonts w:hint="eastAsia" w:ascii="华文仿宋" w:hAnsi="华文仿宋" w:cs="华文仿宋"/>
          <w:color w:val="auto"/>
        </w:rPr>
        <w:t>年内在经营活动中没有重大违纪，以及未被列入失信被执行人或重大税收违法案件当事人名单、政府采购严重违法失信行为记录名单的书面声明。</w:t>
      </w:r>
    </w:p>
    <w:p w14:paraId="3CC157C9">
      <w:pPr>
        <w:spacing w:line="500" w:lineRule="exact"/>
        <w:ind w:firstLine="566" w:firstLineChars="200"/>
        <w:rPr>
          <w:rFonts w:hint="eastAsia" w:ascii="华文仿宋" w:hAnsi="华文仿宋" w:eastAsia="华文仿宋" w:cs="华文仿宋"/>
        </w:rPr>
      </w:pPr>
      <w:r>
        <w:rPr>
          <w:rFonts w:hint="eastAsia" w:ascii="华文仿宋" w:hAnsi="华文仿宋" w:eastAsia="华文仿宋" w:cs="华文仿宋"/>
        </w:rPr>
        <w:t>6、控股管理关系：供应商应提供直接控股和管理关系清单。若与其他投标人存在单位负责人为同一人或者存在直接控股、管理关系的，则投标无效。</w:t>
      </w:r>
    </w:p>
    <w:p w14:paraId="58F86912">
      <w:pPr>
        <w:spacing w:line="500" w:lineRule="exact"/>
        <w:ind w:firstLine="566" w:firstLineChars="200"/>
        <w:rPr>
          <w:rFonts w:hint="eastAsia" w:ascii="华文仿宋" w:hAnsi="华文仿宋" w:eastAsia="华文仿宋" w:cs="华文仿宋"/>
          <w:lang w:val="en-US" w:eastAsia="zh-CN"/>
        </w:rPr>
      </w:pPr>
      <w:r>
        <w:rPr>
          <w:rFonts w:hint="eastAsia" w:ascii="华文仿宋" w:hAnsi="华文仿宋" w:eastAsia="华文仿宋" w:cs="华文仿宋"/>
          <w:lang w:val="en-US" w:eastAsia="zh-CN"/>
        </w:rPr>
        <w:t>7、</w:t>
      </w:r>
      <w:r>
        <w:rPr>
          <w:rFonts w:hint="eastAsia" w:ascii="华文仿宋" w:hAnsi="华文仿宋" w:eastAsia="华文仿宋" w:cs="华文仿宋"/>
        </w:rPr>
        <w:t>书面声明：参加本次投标的供应商应提供书面声明，包括声明具有履行合同所必需的设备和专业技术能力；未为本项目提供整体设计、规范编制或者项目管理、监理、检测等服务。若为信息系统采购项目，还需提供投标供应商及其母公司、附属单位未为该整体项目或其中分项目前期工作提供过设计、编制、管理等服务。</w:t>
      </w:r>
    </w:p>
    <w:p w14:paraId="05F703E8">
      <w:pPr>
        <w:spacing w:line="500" w:lineRule="exact"/>
        <w:ind w:firstLine="566" w:firstLineChars="200"/>
        <w:rPr>
          <w:rFonts w:hint="eastAsia" w:ascii="华文仿宋" w:hAnsi="华文仿宋" w:cs="华文仿宋"/>
          <w:color w:val="auto"/>
        </w:rPr>
      </w:pPr>
      <w:r>
        <w:rPr>
          <w:rFonts w:hint="eastAsia" w:ascii="华文仿宋" w:hAnsi="华文仿宋" w:eastAsia="华文仿宋" w:cs="华文仿宋"/>
          <w:color w:val="auto"/>
          <w:sz w:val="28"/>
          <w:szCs w:val="28"/>
          <w:lang w:val="en-US" w:eastAsia="zh-CN"/>
        </w:rPr>
        <w:t>8</w:t>
      </w:r>
      <w:r>
        <w:rPr>
          <w:rFonts w:hint="eastAsia" w:ascii="华文仿宋" w:hAnsi="华文仿宋" w:cs="华文仿宋"/>
          <w:color w:val="auto"/>
          <w:sz w:val="24"/>
          <w:szCs w:val="24"/>
        </w:rPr>
        <w:t>、</w:t>
      </w:r>
      <w:r>
        <w:rPr>
          <w:rFonts w:hint="eastAsia" w:ascii="华文仿宋" w:hAnsi="华文仿宋" w:cs="华文仿宋"/>
          <w:color w:val="auto"/>
        </w:rPr>
        <w:t>法定代表人授权委托书：法定代表人参加投标的，须提供本人身份证复印件（附在资格证明文件中）；法定代表人授权他人参加投标的，须提供法定代表人授权委托书。磋商文件中凡是需要法定代表人盖章之处，非法人单位的负责人均参照执行。</w:t>
      </w:r>
    </w:p>
    <w:p w14:paraId="770CC729">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b/>
          <w:bCs/>
          <w:lang w:val="en-US" w:eastAsia="zh-CN"/>
        </w:rPr>
      </w:pPr>
      <w:r>
        <w:rPr>
          <w:rFonts w:hint="eastAsia" w:ascii="仿宋" w:hAnsi="仿宋" w:eastAsia="仿宋" w:cs="仿宋"/>
          <w:b/>
          <w:bCs/>
          <w:lang w:val="en-US" w:eastAsia="zh-CN"/>
        </w:rPr>
        <w:t>9、</w:t>
      </w:r>
      <w:r>
        <w:rPr>
          <w:rFonts w:hint="eastAsia"/>
          <w:b/>
          <w:bCs/>
          <w:lang w:val="en-US" w:eastAsia="zh-CN"/>
        </w:rPr>
        <w:t>落实政府采购政策需满足的资格要求：本项目为专门面向中小企业项目，供应商应为中型企业或小型、微型企业或</w:t>
      </w:r>
      <w:r>
        <w:rPr>
          <w:rFonts w:hint="eastAsia"/>
          <w:b/>
          <w:bCs/>
        </w:rPr>
        <w:t>监狱企业</w:t>
      </w:r>
      <w:r>
        <w:rPr>
          <w:rFonts w:hint="eastAsia"/>
          <w:b/>
          <w:bCs/>
          <w:lang w:val="en-US" w:eastAsia="zh-CN"/>
        </w:rPr>
        <w:t>或残疾人福利性单位。</w:t>
      </w:r>
    </w:p>
    <w:p w14:paraId="40B7C822">
      <w:pPr>
        <w:spacing w:line="500" w:lineRule="exact"/>
        <w:ind w:firstLine="566" w:firstLineChars="200"/>
        <w:rPr>
          <w:rFonts w:hint="default" w:ascii="华文仿宋" w:hAnsi="华文仿宋" w:cs="华文仿宋"/>
          <w:color w:val="auto"/>
          <w:lang w:val="en-US" w:eastAsia="zh-CN"/>
        </w:rPr>
      </w:pPr>
      <w:r>
        <w:rPr>
          <w:rFonts w:hint="eastAsia" w:ascii="仿宋" w:hAnsi="仿宋" w:eastAsia="仿宋" w:cs="仿宋"/>
          <w:b/>
          <w:bCs/>
          <w:color w:val="auto"/>
          <w:lang w:val="en-US" w:eastAsia="zh-CN"/>
        </w:rPr>
        <w:t>10</w:t>
      </w:r>
      <w:r>
        <w:rPr>
          <w:rFonts w:hint="eastAsia"/>
          <w:b/>
          <w:bCs/>
          <w:color w:val="auto"/>
        </w:rPr>
        <w:t>、特定资格要求：</w:t>
      </w:r>
      <w:r>
        <w:rPr>
          <w:rFonts w:hint="eastAsia" w:ascii="华文仿宋" w:hAnsi="华文仿宋" w:cs="华文仿宋"/>
          <w:color w:val="auto"/>
          <w:lang w:val="en-US" w:eastAsia="zh-CN"/>
        </w:rPr>
        <w:t xml:space="preserve">以下两种形式提供其中任意一种均可。 </w:t>
      </w:r>
    </w:p>
    <w:p w14:paraId="5116F117">
      <w:pPr>
        <w:spacing w:line="500" w:lineRule="exact"/>
        <w:ind w:firstLine="566" w:firstLineChars="200"/>
        <w:rPr>
          <w:rFonts w:hint="eastAsia" w:ascii="华文仿宋" w:hAnsi="华文仿宋" w:cs="华文仿宋"/>
          <w:color w:val="auto"/>
        </w:rPr>
      </w:pPr>
      <w:r>
        <w:rPr>
          <w:rFonts w:hint="default" w:ascii="华文仿宋" w:hAnsi="华文仿宋" w:cs="华文仿宋"/>
          <w:color w:val="auto"/>
          <w:lang w:val="en-US" w:eastAsia="zh-CN"/>
        </w:rPr>
        <w:t>（</w:t>
      </w:r>
      <w:r>
        <w:rPr>
          <w:rFonts w:hint="eastAsia" w:ascii="华文仿宋" w:hAnsi="华文仿宋" w:cs="华文仿宋"/>
          <w:color w:val="auto"/>
          <w:lang w:val="en-US" w:eastAsia="zh-CN"/>
        </w:rPr>
        <w:t>1</w:t>
      </w:r>
      <w:r>
        <w:rPr>
          <w:rFonts w:hint="default" w:ascii="华文仿宋" w:hAnsi="华文仿宋" w:cs="华文仿宋"/>
          <w:color w:val="auto"/>
          <w:lang w:val="en-US" w:eastAsia="zh-CN"/>
        </w:rPr>
        <w:t>）自行招用保安员的物业服务企业</w:t>
      </w:r>
      <w:r>
        <w:rPr>
          <w:rFonts w:hint="eastAsia" w:ascii="华文仿宋" w:hAnsi="华文仿宋" w:cs="华文仿宋"/>
          <w:color w:val="auto"/>
          <w:lang w:val="en-US" w:eastAsia="zh-CN"/>
        </w:rPr>
        <w:t>应</w:t>
      </w:r>
      <w:r>
        <w:rPr>
          <w:rFonts w:hint="default" w:ascii="华文仿宋" w:hAnsi="华文仿宋" w:cs="华文仿宋"/>
          <w:color w:val="auto"/>
          <w:lang w:val="en-US" w:eastAsia="zh-CN"/>
        </w:rPr>
        <w:t>出具承诺书（承诺书形式不限），承诺自开始提供</w:t>
      </w:r>
      <w:r>
        <w:rPr>
          <w:rFonts w:hint="eastAsia" w:ascii="华文仿宋" w:hAnsi="华文仿宋" w:cs="华文仿宋"/>
          <w:color w:val="auto"/>
          <w:lang w:val="en-US" w:eastAsia="zh-CN"/>
        </w:rPr>
        <w:t>本</w:t>
      </w:r>
      <w:r>
        <w:rPr>
          <w:rFonts w:hint="default" w:ascii="华文仿宋" w:hAnsi="华文仿宋" w:cs="华文仿宋"/>
          <w:color w:val="auto"/>
          <w:lang w:val="en-US" w:eastAsia="zh-CN"/>
        </w:rPr>
        <w:t>项目</w:t>
      </w:r>
      <w:r>
        <w:rPr>
          <w:rFonts w:hint="eastAsia" w:ascii="华文仿宋" w:hAnsi="华文仿宋" w:cs="华文仿宋"/>
          <w:color w:val="auto"/>
          <w:lang w:val="en-US" w:eastAsia="zh-CN"/>
        </w:rPr>
        <w:t>服务</w:t>
      </w:r>
      <w:r>
        <w:rPr>
          <w:rFonts w:hint="default" w:ascii="华文仿宋" w:hAnsi="华文仿宋" w:cs="华文仿宋"/>
          <w:color w:val="auto"/>
          <w:lang w:val="en-US" w:eastAsia="zh-CN"/>
        </w:rPr>
        <w:t xml:space="preserve">之日起30日内向所在地设区的市级人民政府公安机关备案。 </w:t>
      </w:r>
    </w:p>
    <w:p w14:paraId="2A842EDD">
      <w:pPr>
        <w:spacing w:line="500" w:lineRule="exact"/>
        <w:ind w:firstLine="566" w:firstLineChars="200"/>
        <w:rPr>
          <w:rFonts w:hint="eastAsia" w:ascii="华文仿宋" w:hAnsi="华文仿宋" w:cs="华文仿宋"/>
          <w:color w:val="auto"/>
        </w:rPr>
      </w:pPr>
      <w:r>
        <w:rPr>
          <w:rFonts w:hint="eastAsia" w:ascii="华文仿宋" w:hAnsi="华文仿宋" w:cs="华文仿宋"/>
          <w:color w:val="auto"/>
          <w:lang w:val="en-US" w:eastAsia="zh-CN"/>
        </w:rPr>
        <w:t xml:space="preserve">（2）从保安服务公司购买保安服务的供应商，需提供与保安服务公司 </w:t>
      </w:r>
    </w:p>
    <w:p w14:paraId="63613B95">
      <w:pPr>
        <w:spacing w:line="500" w:lineRule="exact"/>
        <w:rPr>
          <w:rFonts w:hint="eastAsia" w:ascii="华文仿宋" w:hAnsi="华文仿宋" w:cs="华文仿宋"/>
          <w:color w:val="auto"/>
          <w:lang w:val="en-US" w:eastAsia="zh-CN"/>
        </w:rPr>
      </w:pPr>
      <w:r>
        <w:rPr>
          <w:rFonts w:hint="eastAsia" w:ascii="华文仿宋" w:hAnsi="华文仿宋" w:cs="华文仿宋"/>
          <w:color w:val="auto"/>
          <w:lang w:val="en-US" w:eastAsia="zh-CN"/>
        </w:rPr>
        <w:t>签订的保安服务合同，明确规定服务的项目、内容以及双方的权利义务。</w:t>
      </w:r>
    </w:p>
    <w:p w14:paraId="05C96F4A">
      <w:pPr>
        <w:spacing w:line="500" w:lineRule="exact"/>
        <w:ind w:firstLine="566" w:firstLineChars="200"/>
        <w:rPr>
          <w:rFonts w:ascii="华文仿宋" w:hAnsi="华文仿宋" w:cs="华文仿宋"/>
          <w:b/>
          <w:bCs/>
          <w:color w:val="auto"/>
        </w:rPr>
      </w:pPr>
      <w:r>
        <w:rPr>
          <w:rFonts w:hint="eastAsia" w:ascii="华文仿宋" w:hAnsi="华文仿宋" w:cs="华文仿宋"/>
          <w:b/>
          <w:bCs/>
          <w:color w:val="auto"/>
          <w:lang w:val="en-US" w:eastAsia="zh-CN"/>
        </w:rPr>
        <w:t>11、</w:t>
      </w:r>
      <w:r>
        <w:rPr>
          <w:rFonts w:hint="eastAsia" w:ascii="华文仿宋" w:hAnsi="华文仿宋" w:cs="华文仿宋"/>
          <w:b/>
          <w:bCs/>
          <w:color w:val="auto"/>
        </w:rPr>
        <w:t>本项目</w:t>
      </w:r>
      <w:r>
        <w:rPr>
          <w:rFonts w:hint="eastAsia" w:ascii="华文仿宋" w:hAnsi="华文仿宋" w:cs="华文仿宋"/>
          <w:b/>
          <w:bCs/>
          <w:color w:val="auto"/>
          <w:kern w:val="0"/>
        </w:rPr>
        <w:t>不接受</w:t>
      </w:r>
      <w:r>
        <w:rPr>
          <w:rFonts w:hint="eastAsia" w:ascii="华文仿宋" w:hAnsi="华文仿宋" w:cs="华文仿宋"/>
          <w:b/>
          <w:bCs/>
          <w:color w:val="auto"/>
        </w:rPr>
        <w:t>联合体响应</w:t>
      </w:r>
      <w:r>
        <w:rPr>
          <w:rFonts w:hint="eastAsia" w:ascii="华文仿宋" w:hAnsi="华文仿宋" w:cs="华文仿宋"/>
          <w:b/>
          <w:bCs/>
          <w:color w:val="auto"/>
          <w:lang w:eastAsia="zh-CN"/>
        </w:rPr>
        <w:t>，</w:t>
      </w:r>
      <w:r>
        <w:rPr>
          <w:rFonts w:hint="eastAsia" w:ascii="华文仿宋" w:hAnsi="华文仿宋" w:cs="华文仿宋"/>
          <w:b/>
          <w:bCs/>
          <w:lang w:val="en-US" w:eastAsia="zh-CN"/>
        </w:rPr>
        <w:t>不允许分包</w:t>
      </w:r>
      <w:r>
        <w:rPr>
          <w:rFonts w:hint="eastAsia" w:ascii="华文仿宋" w:hAnsi="华文仿宋" w:cs="华文仿宋"/>
          <w:b/>
          <w:bCs/>
          <w:color w:val="auto"/>
        </w:rPr>
        <w:t>。</w:t>
      </w:r>
    </w:p>
    <w:p w14:paraId="773D6B3E">
      <w:pPr>
        <w:spacing w:line="240" w:lineRule="auto"/>
        <w:ind w:firstLine="426" w:firstLineChars="200"/>
        <w:rPr>
          <w:rFonts w:ascii="宋体" w:hAnsi="宋体" w:eastAsia="宋体" w:cs="宋体"/>
          <w:color w:val="auto"/>
          <w:sz w:val="21"/>
          <w:szCs w:val="21"/>
        </w:rPr>
      </w:pPr>
      <w:bookmarkStart w:id="40" w:name="_Toc8666"/>
      <w:bookmarkStart w:id="41" w:name="_Toc31685_WPSOffice_Level2"/>
      <w:bookmarkStart w:id="42" w:name="_Toc8219_WPSOffice_Level2"/>
      <w:bookmarkStart w:id="43" w:name="_Toc30876_WPSOffice_Level2"/>
      <w:r>
        <w:rPr>
          <w:rFonts w:hint="eastAsia" w:ascii="宋体" w:hAnsi="宋体" w:eastAsia="宋体" w:cs="宋体"/>
          <w:color w:val="auto"/>
          <w:sz w:val="21"/>
          <w:szCs w:val="21"/>
        </w:rPr>
        <w:t>备注：</w:t>
      </w:r>
      <w:r>
        <w:rPr>
          <w:rFonts w:hint="eastAsia" w:ascii="仿宋" w:hAnsi="仿宋" w:eastAsia="仿宋" w:cs="仿宋"/>
          <w:color w:val="auto"/>
          <w:sz w:val="21"/>
          <w:szCs w:val="21"/>
        </w:rPr>
        <w:t>1</w:t>
      </w:r>
      <w:r>
        <w:rPr>
          <w:rFonts w:hint="eastAsia" w:ascii="宋体" w:hAnsi="宋体" w:eastAsia="宋体" w:cs="宋体"/>
          <w:color w:val="auto"/>
          <w:sz w:val="21"/>
          <w:szCs w:val="21"/>
        </w:rPr>
        <w:t>、以上资格要求均为必备资格，需提供相关证明文件并加盖公章，缺少其中任何一项，其响应文件视为无效文件。《供应商</w:t>
      </w:r>
      <w:r>
        <w:rPr>
          <w:rFonts w:hint="eastAsia" w:ascii="宋体" w:hAnsi="宋体" w:eastAsia="宋体" w:cs="宋体"/>
          <w:color w:val="auto"/>
          <w:sz w:val="21"/>
          <w:szCs w:val="21"/>
          <w:lang w:val="en-US" w:eastAsia="zh-CN"/>
        </w:rPr>
        <w:t>信用记录</w:t>
      </w:r>
      <w:r>
        <w:rPr>
          <w:rFonts w:hint="eastAsia" w:ascii="宋体" w:hAnsi="宋体" w:eastAsia="宋体" w:cs="宋体"/>
          <w:color w:val="auto"/>
          <w:sz w:val="21"/>
          <w:szCs w:val="21"/>
        </w:rPr>
        <w:t>书面声明函》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《法定代表人授权委托书》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书面声明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应按磋商文件第五章第一部分给定的格式填写。</w:t>
      </w:r>
    </w:p>
    <w:p w14:paraId="398DBD72">
      <w:pPr>
        <w:spacing w:line="240" w:lineRule="auto"/>
        <w:ind w:firstLine="426" w:firstLineChars="200"/>
        <w:rPr>
          <w:rFonts w:ascii="宋体" w:hAnsi="宋体" w:eastAsia="宋体" w:cs="宋体"/>
          <w:color w:val="auto"/>
          <w:sz w:val="21"/>
          <w:szCs w:val="21"/>
        </w:rPr>
      </w:pPr>
      <w:r>
        <w:rPr>
          <w:rFonts w:hint="eastAsia" w:ascii="仿宋" w:hAnsi="仿宋" w:eastAsia="仿宋" w:cs="仿宋"/>
          <w:color w:val="auto"/>
          <w:sz w:val="21"/>
          <w:szCs w:val="21"/>
        </w:rPr>
        <w:t>2</w:t>
      </w:r>
      <w:r>
        <w:rPr>
          <w:rFonts w:hint="eastAsia" w:ascii="宋体" w:hAnsi="宋体" w:eastAsia="宋体" w:cs="宋体"/>
          <w:color w:val="auto"/>
          <w:sz w:val="21"/>
          <w:szCs w:val="21"/>
        </w:rPr>
        <w:t>、分支机构参与投标时，响应文件中应附法人出具的授权书。法人只能授权一家分支机构参与投标，且不能与分支机构同时参与投标。分支机构须提供自己的资格要求证明文件。</w:t>
      </w:r>
    </w:p>
    <w:p w14:paraId="58B75777">
      <w:pPr>
        <w:spacing w:line="240" w:lineRule="auto"/>
        <w:ind w:firstLine="426" w:firstLineChars="200"/>
        <w:rPr>
          <w:rFonts w:ascii="宋体" w:hAnsi="宋体" w:eastAsia="宋体" w:cs="宋体"/>
          <w:color w:val="auto"/>
          <w:sz w:val="21"/>
          <w:szCs w:val="21"/>
        </w:rPr>
      </w:pPr>
      <w:r>
        <w:rPr>
          <w:rFonts w:hint="eastAsia" w:ascii="仿宋" w:hAnsi="仿宋" w:eastAsia="仿宋" w:cs="仿宋"/>
          <w:color w:val="auto"/>
          <w:sz w:val="21"/>
          <w:szCs w:val="21"/>
        </w:rPr>
        <w:t>3</w:t>
      </w:r>
      <w:r>
        <w:rPr>
          <w:rFonts w:hint="eastAsia" w:ascii="宋体" w:hAnsi="宋体" w:eastAsia="宋体" w:cs="宋体"/>
          <w:color w:val="auto"/>
          <w:sz w:val="21"/>
          <w:szCs w:val="21"/>
        </w:rPr>
        <w:t>、事业单位法人参与投标可不提供财务状况报告、社会保障资金缴纳证明及税收缴纳证明。</w:t>
      </w:r>
    </w:p>
    <w:p w14:paraId="189A4E26">
      <w:pPr>
        <w:spacing w:line="500" w:lineRule="exact"/>
        <w:ind w:firstLine="566" w:firstLineChars="200"/>
        <w:jc w:val="left"/>
        <w:rPr>
          <w:b/>
          <w:bCs/>
          <w:color w:val="auto"/>
        </w:rPr>
      </w:pPr>
      <w:r>
        <w:rPr>
          <w:rFonts w:hint="eastAsia"/>
          <w:b/>
          <w:bCs/>
          <w:color w:val="auto"/>
          <w:lang w:val="en-US" w:eastAsia="zh-CN"/>
        </w:rPr>
        <w:t>十</w:t>
      </w:r>
      <w:r>
        <w:rPr>
          <w:rFonts w:hint="eastAsia"/>
          <w:b/>
          <w:bCs/>
          <w:color w:val="auto"/>
        </w:rPr>
        <w:t>、执行的其他政府采购政策</w:t>
      </w:r>
      <w:bookmarkEnd w:id="40"/>
      <w:bookmarkEnd w:id="41"/>
      <w:bookmarkEnd w:id="42"/>
    </w:p>
    <w:p w14:paraId="0B87A21E">
      <w:pPr>
        <w:spacing w:line="500" w:lineRule="exact"/>
        <w:ind w:firstLine="566" w:firstLineChars="200"/>
        <w:rPr>
          <w:rFonts w:ascii="华文仿宋" w:hAnsi="华文仿宋" w:cs="华文仿宋"/>
          <w:color w:val="auto"/>
        </w:rPr>
      </w:pPr>
      <w:bookmarkStart w:id="44" w:name="_Toc20141_WPSOffice_Level2"/>
      <w:bookmarkStart w:id="45" w:name="_Toc30400_WPSOffice_Level2"/>
      <w:bookmarkStart w:id="46" w:name="_Toc21125"/>
      <w:r>
        <w:rPr>
          <w:rFonts w:hint="eastAsia" w:ascii="仿宋" w:hAnsi="仿宋" w:eastAsia="仿宋" w:cs="仿宋"/>
          <w:color w:val="auto"/>
        </w:rPr>
        <w:t>1</w:t>
      </w:r>
      <w:r>
        <w:rPr>
          <w:rFonts w:hint="eastAsia" w:ascii="华文仿宋" w:hAnsi="华文仿宋" w:cs="华文仿宋"/>
          <w:color w:val="auto"/>
        </w:rPr>
        <w:t>、《关于在政府采购活动中查询及使用信用记录有关问题的通知》（财库</w:t>
      </w:r>
      <w:r>
        <w:rPr>
          <w:rFonts w:hint="eastAsia" w:ascii="仿宋" w:hAnsi="仿宋" w:eastAsia="仿宋" w:cs="仿宋"/>
          <w:color w:val="auto"/>
        </w:rPr>
        <w:t>〔2016〕125</w:t>
      </w:r>
      <w:r>
        <w:rPr>
          <w:rFonts w:hint="eastAsia" w:ascii="华文仿宋" w:hAnsi="华文仿宋" w:cs="华文仿宋"/>
          <w:color w:val="auto"/>
        </w:rPr>
        <w:t>号）。</w:t>
      </w:r>
    </w:p>
    <w:p w14:paraId="04FDEBFE">
      <w:pPr>
        <w:spacing w:line="500" w:lineRule="exact"/>
        <w:ind w:firstLine="566" w:firstLineChars="200"/>
        <w:rPr>
          <w:rFonts w:ascii="华文仿宋" w:hAnsi="华文仿宋" w:cs="华文仿宋"/>
          <w:color w:val="auto"/>
        </w:rPr>
      </w:pPr>
      <w:r>
        <w:rPr>
          <w:rFonts w:hint="eastAsia" w:ascii="仿宋" w:hAnsi="仿宋" w:eastAsia="仿宋" w:cs="仿宋"/>
          <w:color w:val="auto"/>
        </w:rPr>
        <w:t>2</w:t>
      </w:r>
      <w:r>
        <w:rPr>
          <w:rFonts w:hint="eastAsia" w:ascii="华文仿宋" w:hAnsi="华文仿宋" w:cs="华文仿宋"/>
          <w:color w:val="auto"/>
        </w:rPr>
        <w:t>、《政府采购促进中小企业发展</w:t>
      </w:r>
      <w:r>
        <w:rPr>
          <w:rFonts w:hint="eastAsia" w:ascii="华文仿宋" w:hAnsi="华文仿宋" w:cs="华文仿宋"/>
          <w:color w:val="auto"/>
          <w:lang w:val="en-US" w:eastAsia="zh-CN"/>
        </w:rPr>
        <w:t>管理</w:t>
      </w:r>
      <w:r>
        <w:rPr>
          <w:rFonts w:hint="eastAsia" w:ascii="华文仿宋" w:hAnsi="华文仿宋" w:cs="华文仿宋"/>
          <w:color w:val="auto"/>
        </w:rPr>
        <w:t>办法》（财库</w:t>
      </w:r>
      <w:r>
        <w:rPr>
          <w:rFonts w:hint="eastAsia" w:ascii="仿宋" w:hAnsi="仿宋" w:eastAsia="仿宋" w:cs="仿宋"/>
          <w:color w:val="auto"/>
        </w:rPr>
        <w:t>〔20</w:t>
      </w:r>
      <w:r>
        <w:rPr>
          <w:rFonts w:hint="eastAsia" w:ascii="仿宋" w:hAnsi="仿宋" w:eastAsia="仿宋" w:cs="仿宋"/>
          <w:color w:val="auto"/>
          <w:lang w:val="en-US" w:eastAsia="zh-CN"/>
        </w:rPr>
        <w:t>20</w:t>
      </w:r>
      <w:r>
        <w:rPr>
          <w:rFonts w:hint="eastAsia" w:ascii="仿宋" w:hAnsi="仿宋" w:eastAsia="仿宋" w:cs="仿宋"/>
          <w:color w:val="auto"/>
        </w:rPr>
        <w:t>〕</w:t>
      </w:r>
      <w:r>
        <w:rPr>
          <w:rFonts w:hint="eastAsia" w:ascii="仿宋" w:hAnsi="仿宋" w:eastAsia="仿宋" w:cs="仿宋"/>
          <w:color w:val="auto"/>
          <w:lang w:val="en-US" w:eastAsia="zh-CN"/>
        </w:rPr>
        <w:t>46</w:t>
      </w:r>
      <w:r>
        <w:rPr>
          <w:rFonts w:hint="eastAsia" w:ascii="华文仿宋" w:hAnsi="华文仿宋" w:cs="华文仿宋"/>
          <w:color w:val="auto"/>
        </w:rPr>
        <w:t>号）、《关于政府采购支持监狱企业发展有关问题的通知》（财库</w:t>
      </w:r>
      <w:r>
        <w:rPr>
          <w:rFonts w:hint="eastAsia" w:ascii="仿宋" w:hAnsi="仿宋" w:eastAsia="仿宋" w:cs="仿宋"/>
          <w:color w:val="auto"/>
        </w:rPr>
        <w:t>〔2014〕68</w:t>
      </w:r>
      <w:r>
        <w:rPr>
          <w:rFonts w:hint="eastAsia" w:ascii="华文仿宋" w:hAnsi="华文仿宋" w:cs="华文仿宋"/>
          <w:color w:val="auto"/>
        </w:rPr>
        <w:t>号）以及《关于促进残疾人就业政府采购政策的通知》（财库</w:t>
      </w:r>
      <w:r>
        <w:rPr>
          <w:rFonts w:hint="eastAsia" w:ascii="仿宋" w:hAnsi="仿宋" w:eastAsia="仿宋" w:cs="仿宋"/>
          <w:color w:val="auto"/>
        </w:rPr>
        <w:t>〔2017〕141</w:t>
      </w:r>
      <w:r>
        <w:rPr>
          <w:rFonts w:hint="eastAsia" w:ascii="华文仿宋" w:hAnsi="华文仿宋" w:cs="华文仿宋"/>
          <w:color w:val="auto"/>
        </w:rPr>
        <w:t>号）。</w:t>
      </w:r>
    </w:p>
    <w:p w14:paraId="070F659E">
      <w:pPr>
        <w:spacing w:line="500" w:lineRule="exact"/>
        <w:ind w:firstLine="566" w:firstLineChars="200"/>
        <w:rPr>
          <w:rFonts w:ascii="华文仿宋" w:hAnsi="华文仿宋" w:cs="华文仿宋"/>
          <w:color w:val="auto"/>
        </w:rPr>
      </w:pPr>
      <w:r>
        <w:rPr>
          <w:rFonts w:hint="eastAsia" w:ascii="仿宋" w:hAnsi="仿宋" w:eastAsia="仿宋" w:cs="仿宋"/>
          <w:color w:val="auto"/>
        </w:rPr>
        <w:t>3</w:t>
      </w:r>
      <w:r>
        <w:rPr>
          <w:rFonts w:hint="eastAsia" w:ascii="华文仿宋" w:hAnsi="华文仿宋" w:cs="华文仿宋"/>
          <w:color w:val="auto"/>
        </w:rPr>
        <w:t>、财政部、国家发展改革委《关于印发〈节能产品政府采购实施意见〉的通知》（财库</w:t>
      </w:r>
      <w:r>
        <w:rPr>
          <w:rFonts w:hint="eastAsia" w:ascii="仿宋" w:hAnsi="仿宋" w:eastAsia="仿宋" w:cs="仿宋"/>
          <w:color w:val="auto"/>
        </w:rPr>
        <w:t>〔2004〕185</w:t>
      </w:r>
      <w:r>
        <w:rPr>
          <w:rFonts w:hint="eastAsia" w:ascii="华文仿宋" w:hAnsi="华文仿宋" w:cs="华文仿宋"/>
          <w:color w:val="auto"/>
        </w:rPr>
        <w:t>号）、财政部、国家环保总局联合印发《关于环境标志产品政府采购实施的意见》（财库</w:t>
      </w:r>
      <w:r>
        <w:rPr>
          <w:rFonts w:hint="eastAsia" w:ascii="仿宋" w:hAnsi="仿宋" w:eastAsia="仿宋" w:cs="仿宋"/>
          <w:color w:val="auto"/>
        </w:rPr>
        <w:t>〔2006〕90</w:t>
      </w:r>
      <w:r>
        <w:rPr>
          <w:rFonts w:hint="eastAsia" w:ascii="华文仿宋" w:hAnsi="华文仿宋" w:cs="华文仿宋"/>
          <w:color w:val="auto"/>
        </w:rPr>
        <w:t>号）、国务院办公厅《关于建立政府强制采购节能产品制度的通知》（国办发</w:t>
      </w:r>
      <w:r>
        <w:rPr>
          <w:rFonts w:hint="eastAsia" w:ascii="仿宋" w:hAnsi="仿宋" w:eastAsia="仿宋" w:cs="仿宋"/>
          <w:color w:val="auto"/>
        </w:rPr>
        <w:t>〔2007〕51</w:t>
      </w:r>
      <w:r>
        <w:rPr>
          <w:rFonts w:hint="eastAsia" w:ascii="华文仿宋" w:hAnsi="华文仿宋" w:cs="华文仿宋"/>
          <w:color w:val="auto"/>
        </w:rPr>
        <w:t>号）、财政部、国家发改委、生态环境部、</w:t>
      </w:r>
      <w:ins w:id="0" w:author="刘敏莉" w:date="2026-01-22T16:04:00Z">
        <w:r>
          <w:rPr>
            <w:rFonts w:hint="eastAsia" w:ascii="华文仿宋" w:hAnsi="华文仿宋" w:eastAsia="华文仿宋" w:cs="华文仿宋"/>
            <w:color w:val="auto"/>
            <w:sz w:val="28"/>
            <w:szCs w:val="28"/>
            <w:rPrChange w:id="1" w:author="刘敏莉" w:date="2026-01-22T16:04:09Z">
              <w:rPr>
                <w:rFonts w:ascii="宋体" w:eastAsia="宋体"/>
                <w:color w:val="000000"/>
                <w:sz w:val="26"/>
                <w:szCs w:val="26"/>
                <w:highlight w:val="none"/>
              </w:rPr>
            </w:rPrChange>
          </w:rPr>
          <w:t>市场监管总局</w:t>
        </w:r>
      </w:ins>
      <w:del w:id="3" w:author="刘敏莉" w:date="2026-01-22T16:04:00Z">
        <w:r>
          <w:rPr>
            <w:rFonts w:hint="eastAsia" w:ascii="华文仿宋" w:hAnsi="华文仿宋" w:cs="华文仿宋"/>
            <w:color w:val="auto"/>
          </w:rPr>
          <w:delText>市场监督总局</w:delText>
        </w:r>
      </w:del>
      <w:r>
        <w:rPr>
          <w:rFonts w:hint="eastAsia" w:ascii="华文仿宋" w:hAnsi="华文仿宋" w:cs="华文仿宋"/>
          <w:color w:val="auto"/>
        </w:rPr>
        <w:t>联合印发《关于调整优化节能产品、环境标志产品政府采购执行机制的通知》（财库</w:t>
      </w:r>
      <w:r>
        <w:rPr>
          <w:rFonts w:ascii="宋体" w:hAnsi="宋体" w:eastAsia="宋体" w:cs="宋体"/>
          <w:color w:val="auto"/>
        </w:rPr>
        <w:t>〔</w:t>
      </w:r>
      <w:r>
        <w:rPr>
          <w:rFonts w:hint="eastAsia" w:ascii="仿宋" w:hAnsi="仿宋" w:eastAsia="仿宋" w:cs="仿宋"/>
          <w:color w:val="auto"/>
        </w:rPr>
        <w:t>2019</w:t>
      </w:r>
      <w:r>
        <w:rPr>
          <w:rFonts w:ascii="宋体" w:hAnsi="宋体" w:eastAsia="宋体" w:cs="宋体"/>
          <w:color w:val="auto"/>
        </w:rPr>
        <w:t>〕</w:t>
      </w:r>
      <w:r>
        <w:rPr>
          <w:rFonts w:hint="eastAsia" w:ascii="仿宋" w:hAnsi="仿宋" w:eastAsia="仿宋" w:cs="仿宋"/>
          <w:color w:val="auto"/>
        </w:rPr>
        <w:t>9</w:t>
      </w:r>
      <w:r>
        <w:rPr>
          <w:rFonts w:hint="eastAsia" w:ascii="华文仿宋" w:hAnsi="华文仿宋" w:cs="华文仿宋"/>
          <w:color w:val="auto"/>
        </w:rPr>
        <w:t>号</w:t>
      </w:r>
      <w:r>
        <w:rPr>
          <w:rFonts w:ascii="宋体" w:hAnsi="宋体" w:eastAsia="宋体" w:cs="宋体"/>
          <w:color w:val="auto"/>
        </w:rPr>
        <w:t>）</w:t>
      </w:r>
      <w:r>
        <w:rPr>
          <w:rFonts w:hint="eastAsia" w:ascii="华文仿宋" w:hAnsi="华文仿宋" w:cs="华文仿宋"/>
          <w:color w:val="auto"/>
        </w:rPr>
        <w:t>。</w:t>
      </w:r>
    </w:p>
    <w:p w14:paraId="2EAAF6A5">
      <w:pPr>
        <w:spacing w:line="500" w:lineRule="exact"/>
        <w:ind w:firstLine="566" w:firstLineChars="200"/>
        <w:rPr>
          <w:rFonts w:ascii="华文仿宋" w:hAnsi="华文仿宋" w:cs="华文仿宋"/>
          <w:color w:val="auto"/>
        </w:rPr>
      </w:pPr>
      <w:r>
        <w:rPr>
          <w:rFonts w:hint="eastAsia" w:ascii="仿宋" w:hAnsi="仿宋" w:eastAsia="仿宋" w:cs="仿宋"/>
          <w:color w:val="auto"/>
        </w:rPr>
        <w:t>4</w:t>
      </w:r>
      <w:r>
        <w:rPr>
          <w:rFonts w:hint="eastAsia" w:ascii="华文仿宋" w:hAnsi="华文仿宋" w:cs="华文仿宋"/>
          <w:color w:val="auto"/>
        </w:rPr>
        <w:t>、详见《供应商须知》中“落实的政府采购政策”</w:t>
      </w:r>
      <w:bookmarkStart w:id="492" w:name="_GoBack"/>
      <w:bookmarkEnd w:id="492"/>
      <w:r>
        <w:rPr>
          <w:rFonts w:hint="eastAsia" w:ascii="华文仿宋" w:hAnsi="华文仿宋" w:cs="华文仿宋"/>
          <w:color w:val="auto"/>
        </w:rPr>
        <w:t>有关内容。</w:t>
      </w:r>
    </w:p>
    <w:p w14:paraId="6DEF550E">
      <w:pPr>
        <w:spacing w:line="500" w:lineRule="exact"/>
        <w:ind w:firstLine="566" w:firstLineChars="200"/>
        <w:rPr>
          <w:b/>
          <w:bCs/>
          <w:color w:val="auto"/>
        </w:rPr>
      </w:pPr>
      <w:r>
        <w:rPr>
          <w:rFonts w:hint="eastAsia"/>
          <w:b/>
          <w:bCs/>
          <w:color w:val="auto"/>
        </w:rPr>
        <w:t>十</w:t>
      </w:r>
      <w:r>
        <w:rPr>
          <w:rFonts w:hint="eastAsia"/>
          <w:b/>
          <w:bCs/>
          <w:color w:val="auto"/>
          <w:lang w:val="en-US" w:eastAsia="zh-CN"/>
        </w:rPr>
        <w:t>一</w:t>
      </w:r>
      <w:r>
        <w:rPr>
          <w:rFonts w:hint="eastAsia"/>
          <w:b/>
          <w:bCs/>
          <w:color w:val="auto"/>
        </w:rPr>
        <w:t>、</w:t>
      </w:r>
      <w:bookmarkEnd w:id="43"/>
      <w:bookmarkEnd w:id="44"/>
      <w:bookmarkEnd w:id="45"/>
      <w:bookmarkEnd w:id="46"/>
      <w:r>
        <w:rPr>
          <w:rFonts w:hint="eastAsia"/>
          <w:b/>
          <w:bCs/>
          <w:color w:val="auto"/>
        </w:rPr>
        <w:t>磋商文件获取方式及公告期限</w:t>
      </w:r>
    </w:p>
    <w:p w14:paraId="4E290DCB">
      <w:pPr>
        <w:wordWrap w:val="0"/>
        <w:spacing w:line="500" w:lineRule="exact"/>
        <w:ind w:firstLine="566" w:firstLineChars="200"/>
        <w:rPr>
          <w:rFonts w:ascii="仿宋" w:hAnsi="仿宋" w:eastAsia="仿宋" w:cs="仿宋"/>
          <w:bCs/>
          <w:color w:val="auto"/>
        </w:rPr>
      </w:pPr>
      <w:bookmarkStart w:id="47" w:name="_Toc20847"/>
      <w:bookmarkStart w:id="48" w:name="_Toc26863_WPSOffice_Level2"/>
      <w:bookmarkStart w:id="49" w:name="_Toc26982_WPSOffice_Level2"/>
      <w:bookmarkStart w:id="50" w:name="_Toc27420_WPSOffice_Level2"/>
      <w:r>
        <w:rPr>
          <w:rFonts w:hint="eastAsia" w:ascii="仿宋" w:hAnsi="仿宋" w:eastAsia="仿宋" w:cs="仿宋"/>
          <w:bCs/>
          <w:color w:val="auto"/>
        </w:rPr>
        <w:t>１、</w:t>
      </w:r>
      <w:r>
        <w:rPr>
          <w:rFonts w:hint="eastAsia" w:ascii="华文仿宋" w:hAnsi="华文仿宋" w:cs="华文仿宋"/>
          <w:bCs/>
          <w:color w:val="auto"/>
        </w:rPr>
        <w:t>获取方式：供应商可登录全国公共资源交易平台（陕西省）（http://www.sxggzyjy.cn/），选择“电子交易平台—陕西政府采购交易系统—企业端”进行登录，登录后选择“交易乙方”身份进入供应商界面后，选择有意向的项目点击“我要投标”，参与投标活动。然后即可在〖我的项目〗中点击“项目流程&gt;交易文件下载”免费下载电子磋商文件</w:t>
      </w:r>
      <w:r>
        <w:rPr>
          <w:rFonts w:hint="eastAsia" w:ascii="华文仿宋" w:hAnsi="华文仿宋" w:eastAsia="华文仿宋" w:cs="华文仿宋"/>
          <w:color w:val="auto"/>
          <w:highlight w:val="none"/>
        </w:rPr>
        <w:t>（*.SXSZF）</w:t>
      </w:r>
      <w:r>
        <w:rPr>
          <w:rFonts w:hint="eastAsia" w:ascii="华文仿宋" w:hAnsi="华文仿宋" w:cs="华文仿宋"/>
          <w:bCs/>
          <w:color w:val="auto"/>
        </w:rPr>
        <w:t>。</w:t>
      </w:r>
    </w:p>
    <w:p w14:paraId="0B688F67">
      <w:pPr>
        <w:spacing w:line="500" w:lineRule="exact"/>
        <w:ind w:firstLine="566" w:firstLineChars="200"/>
        <w:rPr>
          <w:rFonts w:ascii="华文仿宋" w:hAnsi="华文仿宋" w:cs="华文仿宋"/>
          <w:bCs/>
          <w:color w:val="auto"/>
        </w:rPr>
      </w:pPr>
      <w:r>
        <w:rPr>
          <w:rFonts w:hint="eastAsia" w:ascii="仿宋" w:hAnsi="仿宋" w:eastAsia="仿宋" w:cs="仿宋"/>
          <w:bCs/>
          <w:color w:val="auto"/>
        </w:rPr>
        <w:t>2、</w:t>
      </w:r>
      <w:r>
        <w:rPr>
          <w:rFonts w:hint="eastAsia" w:ascii="华文仿宋" w:hAnsi="华文仿宋" w:cs="华文仿宋"/>
          <w:bCs/>
          <w:color w:val="auto"/>
        </w:rPr>
        <w:t>获取时间：采购公告发布后至开标前</w:t>
      </w:r>
    </w:p>
    <w:p w14:paraId="396468C6">
      <w:pPr>
        <w:spacing w:line="500" w:lineRule="exact"/>
        <w:ind w:firstLine="566" w:firstLineChars="200"/>
        <w:rPr>
          <w:rFonts w:ascii="华文仿宋" w:hAnsi="华文仿宋" w:cs="华文仿宋"/>
          <w:bCs/>
          <w:color w:val="auto"/>
        </w:rPr>
      </w:pPr>
      <w:r>
        <w:rPr>
          <w:rFonts w:hint="eastAsia" w:ascii="仿宋" w:hAnsi="仿宋" w:eastAsia="仿宋" w:cs="仿宋"/>
          <w:bCs/>
          <w:color w:val="auto"/>
        </w:rPr>
        <w:t>3、</w:t>
      </w:r>
      <w:r>
        <w:rPr>
          <w:rFonts w:hint="eastAsia" w:ascii="华文仿宋" w:hAnsi="华文仿宋" w:cs="华文仿宋"/>
          <w:bCs/>
          <w:color w:val="auto"/>
        </w:rPr>
        <w:t>供应商初次使用交易平台，须先完成诚信入库登记、数字认证证书（CA锁）认证及企业信息绑定。相关操作流程详见全国公共资源交易平台（陕西省）网站〖首页·〉服务指南·〉下载专区〗中的《</w:t>
      </w:r>
      <w:r>
        <w:rPr>
          <w:rFonts w:hint="eastAsia"/>
        </w:rPr>
        <w:t>陕西省省</w:t>
      </w:r>
      <w:r>
        <w:t>级单位电子化政府采购项目投标指南</w:t>
      </w:r>
      <w:r>
        <w:rPr>
          <w:rFonts w:hint="eastAsia" w:ascii="华文仿宋" w:hAnsi="华文仿宋" w:cs="华文仿宋"/>
          <w:bCs/>
          <w:color w:val="auto"/>
        </w:rPr>
        <w:t>》。</w:t>
      </w:r>
    </w:p>
    <w:p w14:paraId="7BE9F86A">
      <w:pPr>
        <w:wordWrap w:val="0"/>
        <w:spacing w:line="500" w:lineRule="exact"/>
        <w:ind w:firstLine="566" w:firstLineChars="200"/>
        <w:rPr>
          <w:rFonts w:hint="eastAsia" w:ascii="华文仿宋" w:hAnsi="华文仿宋" w:cs="华文仿宋"/>
          <w:bCs/>
          <w:color w:val="auto"/>
        </w:rPr>
      </w:pPr>
      <w:r>
        <w:rPr>
          <w:rFonts w:hint="eastAsia" w:ascii="仿宋" w:hAnsi="仿宋" w:eastAsia="仿宋" w:cs="仿宋"/>
          <w:bCs/>
          <w:color w:val="auto"/>
        </w:rPr>
        <w:t>４、</w:t>
      </w:r>
      <w:r>
        <w:rPr>
          <w:rFonts w:hint="eastAsia" w:ascii="华文仿宋" w:hAnsi="华文仿宋" w:cs="华文仿宋"/>
          <w:bCs/>
          <w:color w:val="auto"/>
        </w:rPr>
        <w:t>数字认证证书（CA锁）办理流程可参照https://www.snca.com.cn/notice/show/533.html，现场办理地址：西安市长安北路14号省公共资源交易中心一楼办理大厅3、4号窗口，咨询电话：</w:t>
      </w:r>
      <w:r>
        <w:rPr>
          <w:rFonts w:hint="eastAsia" w:ascii="仿宋" w:hAnsi="仿宋" w:eastAsia="仿宋" w:cs="仿宋"/>
          <w:bCs/>
          <w:color w:val="auto"/>
        </w:rPr>
        <w:t>029-88661241</w:t>
      </w:r>
      <w:r>
        <w:rPr>
          <w:rFonts w:hint="eastAsia" w:ascii="华文仿宋" w:hAnsi="华文仿宋" w:cs="华文仿宋"/>
          <w:bCs/>
          <w:color w:val="auto"/>
        </w:rPr>
        <w:t>。疫情期间数字认证证书（CA锁）新办及续费可使用网上受理邮寄领取的方式办理，详见http://www.sxggzyjy.cn/xwzx/002002/20200218/79d68d76-7e82-44b0-8b8b-cb07d0658787.html。</w:t>
      </w:r>
    </w:p>
    <w:p w14:paraId="268CA275">
      <w:pPr>
        <w:pStyle w:val="2"/>
        <w:spacing w:line="500" w:lineRule="exact"/>
        <w:ind w:firstLine="566" w:firstLineChars="200"/>
        <w:rPr>
          <w:color w:val="0000FF"/>
        </w:rPr>
      </w:pPr>
      <w:r>
        <w:rPr>
          <w:rFonts w:hint="eastAsia" w:ascii="仿宋" w:hAnsi="仿宋" w:eastAsia="仿宋" w:cs="仿宋"/>
          <w:bCs/>
          <w:color w:val="auto"/>
          <w:sz w:val="28"/>
          <w:szCs w:val="28"/>
          <w:highlight w:val="none"/>
        </w:rPr>
        <w:t>5</w:t>
      </w:r>
      <w:r>
        <w:rPr>
          <w:rFonts w:hint="eastAsia" w:ascii="华文仿宋" w:hAnsi="华文仿宋" w:cs="华文仿宋"/>
          <w:bCs/>
          <w:color w:val="auto"/>
          <w:sz w:val="28"/>
          <w:szCs w:val="28"/>
          <w:highlight w:val="none"/>
        </w:rPr>
        <w:t>、</w:t>
      </w:r>
      <w:r>
        <w:rPr>
          <w:rFonts w:hint="eastAsia" w:ascii="华文仿宋" w:hAnsi="华文仿宋" w:cs="华文仿宋"/>
          <w:bCs/>
          <w:color w:val="auto"/>
          <w:sz w:val="28"/>
          <w:szCs w:val="28"/>
          <w:highlight w:val="none"/>
          <w:lang w:eastAsia="zh-CN"/>
        </w:rPr>
        <w:t>磋商文件</w:t>
      </w:r>
      <w:r>
        <w:rPr>
          <w:rFonts w:hint="eastAsia" w:ascii="华文仿宋" w:hAnsi="华文仿宋" w:cs="华文仿宋"/>
          <w:bCs/>
          <w:color w:val="auto"/>
          <w:sz w:val="28"/>
          <w:szCs w:val="28"/>
          <w:highlight w:val="none"/>
        </w:rPr>
        <w:t>的公告期限：</w:t>
      </w:r>
      <w:r>
        <w:rPr>
          <w:rFonts w:ascii="仿宋" w:hAnsi="仿宋" w:eastAsia="仿宋" w:cs="仿宋"/>
          <w:bCs/>
          <w:color w:val="auto"/>
          <w:sz w:val="28"/>
          <w:szCs w:val="28"/>
          <w:highlight w:val="none"/>
        </w:rPr>
        <w:t>202</w:t>
      </w:r>
      <w:r>
        <w:rPr>
          <w:rFonts w:hint="eastAsia" w:ascii="仿宋" w:hAnsi="仿宋" w:eastAsia="仿宋" w:cs="仿宋"/>
          <w:bCs/>
          <w:color w:val="auto"/>
          <w:sz w:val="28"/>
          <w:szCs w:val="28"/>
          <w:highlight w:val="none"/>
          <w:lang w:val="en-US" w:eastAsia="zh-CN"/>
        </w:rPr>
        <w:t>1</w:t>
      </w:r>
      <w:r>
        <w:rPr>
          <w:rFonts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2</w:t>
      </w:r>
      <w:r>
        <w:rPr>
          <w:rFonts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10</w:t>
      </w:r>
      <w:r>
        <w:rPr>
          <w:rFonts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rPr>
        <w:t>至202</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22</w:t>
      </w:r>
      <w:r>
        <w:rPr>
          <w:rFonts w:hint="eastAsia" w:ascii="仿宋" w:hAnsi="仿宋" w:eastAsia="仿宋" w:cs="仿宋"/>
          <w:bCs/>
          <w:color w:val="auto"/>
          <w:sz w:val="28"/>
          <w:szCs w:val="28"/>
          <w:highlight w:val="none"/>
        </w:rPr>
        <w:t>日</w:t>
      </w:r>
    </w:p>
    <w:p w14:paraId="78545361">
      <w:pPr>
        <w:spacing w:line="500" w:lineRule="exact"/>
        <w:ind w:firstLine="566" w:firstLineChars="200"/>
        <w:rPr>
          <w:b/>
          <w:bCs/>
          <w:color w:val="auto"/>
        </w:rPr>
      </w:pPr>
      <w:r>
        <w:rPr>
          <w:rFonts w:hint="eastAsia"/>
          <w:b/>
          <w:bCs/>
          <w:color w:val="auto"/>
        </w:rPr>
        <w:t>十</w:t>
      </w:r>
      <w:r>
        <w:rPr>
          <w:rFonts w:hint="eastAsia"/>
          <w:b/>
          <w:bCs/>
          <w:color w:val="auto"/>
          <w:lang w:val="en-US" w:eastAsia="zh-CN"/>
        </w:rPr>
        <w:t>二</w:t>
      </w:r>
      <w:r>
        <w:rPr>
          <w:rFonts w:hint="eastAsia"/>
          <w:b/>
          <w:bCs/>
          <w:color w:val="auto"/>
        </w:rPr>
        <w:t>、交纳磋商保证金</w:t>
      </w:r>
      <w:bookmarkEnd w:id="47"/>
      <w:bookmarkEnd w:id="48"/>
      <w:bookmarkEnd w:id="49"/>
      <w:bookmarkEnd w:id="50"/>
    </w:p>
    <w:p w14:paraId="4BEEFA2F">
      <w:pPr>
        <w:autoSpaceDE w:val="0"/>
        <w:autoSpaceDN w:val="0"/>
        <w:adjustRightInd w:val="0"/>
        <w:snapToGrid w:val="0"/>
        <w:spacing w:line="500" w:lineRule="exact"/>
        <w:ind w:firstLine="566" w:firstLineChars="200"/>
        <w:rPr>
          <w:rFonts w:ascii="华文仿宋" w:hAnsi="华文仿宋" w:cs="华文仿宋"/>
          <w:color w:val="auto"/>
        </w:rPr>
      </w:pPr>
      <w:r>
        <w:rPr>
          <w:rFonts w:hint="eastAsia" w:ascii="华文仿宋" w:hAnsi="华文仿宋" w:cs="华文仿宋"/>
          <w:color w:val="auto"/>
          <w:lang w:val="zh-CN"/>
        </w:rPr>
        <w:t>供应商应在响应文件提交截止</w:t>
      </w:r>
      <w:r>
        <w:rPr>
          <w:rFonts w:hint="eastAsia" w:ascii="华文仿宋" w:hAnsi="华文仿宋" w:cs="华文仿宋"/>
          <w:color w:val="auto"/>
        </w:rPr>
        <w:t>时间</w:t>
      </w:r>
      <w:r>
        <w:rPr>
          <w:rFonts w:hint="eastAsia" w:ascii="华文仿宋" w:hAnsi="华文仿宋" w:cs="华文仿宋"/>
          <w:color w:val="auto"/>
          <w:lang w:val="zh-CN"/>
        </w:rPr>
        <w:t>前向陕西省</w:t>
      </w:r>
      <w:r>
        <w:rPr>
          <w:rFonts w:hint="eastAsia" w:ascii="华文仿宋" w:hAnsi="华文仿宋" w:cs="华文仿宋"/>
          <w:color w:val="auto"/>
          <w:lang w:val="en-US" w:eastAsia="zh-CN"/>
        </w:rPr>
        <w:t>公共资源交易</w:t>
      </w:r>
      <w:r>
        <w:rPr>
          <w:rFonts w:hint="eastAsia" w:ascii="华文仿宋" w:hAnsi="华文仿宋" w:cs="华文仿宋"/>
          <w:color w:val="auto"/>
          <w:lang w:val="zh-CN"/>
        </w:rPr>
        <w:t>中心</w:t>
      </w:r>
      <w:r>
        <w:rPr>
          <w:rFonts w:hint="eastAsia" w:ascii="仿宋" w:hAnsi="仿宋" w:eastAsia="仿宋" w:cs="仿宋"/>
          <w:color w:val="auto"/>
        </w:rPr>
        <w:t>一次性足额</w:t>
      </w:r>
      <w:r>
        <w:rPr>
          <w:rFonts w:hint="eastAsia" w:ascii="华文仿宋" w:hAnsi="华文仿宋" w:cs="华文仿宋"/>
          <w:color w:val="auto"/>
          <w:lang w:val="zh-CN"/>
        </w:rPr>
        <w:t>交纳</w:t>
      </w:r>
      <w:r>
        <w:rPr>
          <w:rFonts w:hint="eastAsia" w:ascii="华文仿宋" w:hAnsi="华文仿宋" w:cs="华文仿宋"/>
          <w:b/>
          <w:bCs/>
          <w:color w:val="auto"/>
          <w:lang w:val="zh-CN"/>
        </w:rPr>
        <w:t>壹万</w:t>
      </w:r>
      <w:r>
        <w:rPr>
          <w:rFonts w:hint="eastAsia" w:ascii="华文仿宋" w:hAnsi="华文仿宋" w:cs="华文仿宋"/>
          <w:b/>
          <w:bCs/>
          <w:color w:val="auto"/>
          <w:lang w:val="zh-CN" w:eastAsia="zh-CN"/>
        </w:rPr>
        <w:t>元整</w:t>
      </w:r>
      <w:r>
        <w:rPr>
          <w:rFonts w:hint="eastAsia" w:ascii="华文仿宋" w:hAnsi="华文仿宋" w:cs="华文仿宋"/>
          <w:b/>
          <w:bCs/>
          <w:color w:val="auto"/>
        </w:rPr>
        <w:t>（</w:t>
      </w:r>
      <w:r>
        <w:rPr>
          <w:rFonts w:hint="eastAsia" w:ascii="仿宋" w:hAnsi="仿宋" w:eastAsia="仿宋"/>
          <w:b/>
          <w:bCs/>
          <w:color w:val="auto"/>
          <w:lang w:val="zh-CN"/>
        </w:rPr>
        <w:t>￥</w:t>
      </w:r>
      <w:r>
        <w:rPr>
          <w:rFonts w:hint="eastAsia" w:ascii="仿宋" w:hAnsi="仿宋" w:eastAsia="仿宋"/>
          <w:b/>
          <w:bCs/>
          <w:color w:val="auto"/>
          <w:lang w:val="en-US" w:eastAsia="zh-CN"/>
        </w:rPr>
        <w:t>10</w:t>
      </w:r>
      <w:r>
        <w:rPr>
          <w:rFonts w:hint="eastAsia" w:ascii="仿宋" w:hAnsi="仿宋" w:eastAsia="仿宋" w:cs="仿宋"/>
          <w:b/>
          <w:bCs/>
          <w:color w:val="auto"/>
          <w:kern w:val="2"/>
          <w:sz w:val="28"/>
          <w:szCs w:val="28"/>
          <w:lang w:val="en-US" w:eastAsia="zh-CN" w:bidi="ar-SA"/>
        </w:rPr>
        <w:t>000</w:t>
      </w:r>
      <w:r>
        <w:rPr>
          <w:rFonts w:hint="eastAsia" w:ascii="华文仿宋" w:hAnsi="华文仿宋" w:cs="华文仿宋"/>
          <w:b/>
          <w:bCs/>
          <w:color w:val="auto"/>
        </w:rPr>
        <w:t>元）</w:t>
      </w:r>
      <w:r>
        <w:rPr>
          <w:rFonts w:hint="eastAsia" w:ascii="华文仿宋" w:hAnsi="华文仿宋" w:cs="华文仿宋"/>
          <w:b w:val="0"/>
          <w:bCs w:val="0"/>
          <w:color w:val="auto"/>
          <w:lang w:eastAsia="zh-CN"/>
        </w:rPr>
        <w:t>的</w:t>
      </w:r>
      <w:r>
        <w:rPr>
          <w:rFonts w:hint="eastAsia" w:ascii="华文仿宋" w:hAnsi="华文仿宋" w:cs="华文仿宋"/>
          <w:color w:val="auto"/>
          <w:lang w:val="zh-CN"/>
        </w:rPr>
        <w:t>磋商保证金。保证金应当采用转账、网上银行支付或者银行出具的保函等非现金形式交纳。保证金以转账、网上银行支付等方式交纳的，应</w:t>
      </w:r>
      <w:r>
        <w:rPr>
          <w:rFonts w:hint="eastAsia" w:ascii="仿宋" w:hAnsi="仿宋" w:eastAsia="仿宋" w:cs="仿宋"/>
          <w:color w:val="auto"/>
        </w:rPr>
        <w:t>一次性足额</w:t>
      </w:r>
      <w:r>
        <w:rPr>
          <w:rFonts w:hint="eastAsia" w:ascii="华文仿宋" w:hAnsi="华文仿宋" w:cs="华文仿宋"/>
          <w:color w:val="auto"/>
          <w:lang w:val="zh-CN"/>
        </w:rPr>
        <w:t>交纳，到账时间以陕西省公共资源交易中心开户银行确认的收款时间为准；</w:t>
      </w:r>
      <w:r>
        <w:rPr>
          <w:rFonts w:hint="eastAsia" w:ascii="华文仿宋" w:hAnsi="华文仿宋" w:cs="华文仿宋"/>
          <w:lang w:val="zh-CN"/>
        </w:rPr>
        <w:t>保证金以纸质银行保函方式交纳的，供应商应在开标前将保函提交给采购人，由采购人对保函的真伪及相关内容进行核实并确认，到账时间以采购人开具回执时间为准；</w:t>
      </w:r>
      <w:r>
        <w:rPr>
          <w:rFonts w:hint="eastAsia" w:ascii="华文仿宋" w:hAnsi="华文仿宋" w:cs="华文仿宋"/>
          <w:color w:val="auto"/>
          <w:lang w:val="zh-CN"/>
        </w:rPr>
        <w:t>保证金以电子保函方式交纳的，供应商应在电子保函系统中提交申请（目前支持招商银行），到账时间以银行开具的电子保函时间为准。</w:t>
      </w:r>
    </w:p>
    <w:p w14:paraId="6AEF236A">
      <w:pPr>
        <w:adjustRightInd w:val="0"/>
        <w:snapToGrid w:val="0"/>
        <w:spacing w:line="500" w:lineRule="exact"/>
        <w:ind w:firstLine="566" w:firstLineChars="200"/>
        <w:rPr>
          <w:rFonts w:ascii="华文仿宋" w:hAnsi="华文仿宋" w:cs="华文仿宋"/>
          <w:b/>
          <w:bCs/>
          <w:color w:val="auto"/>
        </w:rPr>
      </w:pPr>
      <w:r>
        <w:rPr>
          <w:rFonts w:hint="eastAsia" w:ascii="华文仿宋" w:hAnsi="华文仿宋" w:cs="华文仿宋"/>
          <w:b/>
          <w:bCs/>
          <w:color w:val="auto"/>
        </w:rPr>
        <w:t>开户银行：</w:t>
      </w:r>
      <w:r>
        <w:rPr>
          <w:rFonts w:hint="eastAsia" w:ascii="华文仿宋" w:hAnsi="华文仿宋" w:eastAsia="华文仿宋" w:cs="华文仿宋"/>
          <w:b/>
          <w:bCs/>
          <w:color w:val="auto"/>
          <w:sz w:val="28"/>
          <w:szCs w:val="28"/>
        </w:rPr>
        <w:t>长安银行西安长安北路小微支行</w:t>
      </w:r>
    </w:p>
    <w:p w14:paraId="2596A7BA">
      <w:pPr>
        <w:adjustRightInd w:val="0"/>
        <w:snapToGrid w:val="0"/>
        <w:spacing w:line="500" w:lineRule="exact"/>
        <w:ind w:firstLine="566" w:firstLineChars="200"/>
        <w:rPr>
          <w:rFonts w:hint="eastAsia" w:ascii="华文仿宋" w:hAnsi="华文仿宋" w:cs="华文仿宋"/>
          <w:b/>
          <w:bCs/>
          <w:color w:val="auto"/>
          <w:lang w:val="zh-CN"/>
        </w:rPr>
      </w:pPr>
      <w:r>
        <w:rPr>
          <w:rFonts w:hint="eastAsia" w:ascii="华文仿宋" w:hAnsi="华文仿宋" w:cs="华文仿宋"/>
          <w:b/>
          <w:bCs/>
          <w:color w:val="auto"/>
        </w:rPr>
        <w:t>账户名称</w:t>
      </w:r>
      <w:r>
        <w:rPr>
          <w:rFonts w:hint="eastAsia" w:ascii="华文仿宋" w:hAnsi="华文仿宋" w:cs="华文仿宋"/>
          <w:color w:val="auto"/>
        </w:rPr>
        <w:t>：</w:t>
      </w:r>
      <w:r>
        <w:rPr>
          <w:rFonts w:hint="eastAsia" w:ascii="华文仿宋" w:hAnsi="华文仿宋" w:cs="华文仿宋"/>
          <w:b/>
          <w:bCs/>
          <w:color w:val="auto"/>
          <w:lang w:val="zh-CN"/>
        </w:rPr>
        <w:t>陕西省公共资源交易中心（资金性质：交易保证金专户）</w:t>
      </w:r>
    </w:p>
    <w:p w14:paraId="17AE956B">
      <w:pPr>
        <w:pStyle w:val="16"/>
        <w:spacing w:line="500" w:lineRule="exact"/>
        <w:ind w:firstLine="849" w:firstLineChars="300"/>
        <w:rPr>
          <w:rFonts w:hint="default" w:ascii="仿宋" w:hAnsi="仿宋" w:eastAsia="微软雅黑" w:cs="仿宋"/>
          <w:b/>
          <w:bCs/>
          <w:color w:val="auto"/>
          <w:sz w:val="28"/>
          <w:szCs w:val="28"/>
          <w:lang w:val="en-US" w:eastAsia="zh-CN"/>
        </w:rPr>
      </w:pPr>
      <w:r>
        <w:rPr>
          <w:rFonts w:hint="eastAsia" w:ascii="华文仿宋" w:hAnsi="华文仿宋" w:cs="华文仿宋"/>
          <w:b/>
          <w:bCs/>
          <w:color w:val="auto"/>
          <w:sz w:val="28"/>
          <w:lang w:val="zh-CN"/>
        </w:rPr>
        <w:t>子账号：</w:t>
      </w:r>
      <w:r>
        <w:rPr>
          <w:rFonts w:hint="eastAsia" w:ascii="仿宋" w:hAnsi="仿宋" w:eastAsia="仿宋" w:cs="仿宋"/>
          <w:b/>
          <w:bCs/>
          <w:i w:val="0"/>
          <w:caps w:val="0"/>
          <w:spacing w:val="0"/>
          <w:sz w:val="28"/>
          <w:szCs w:val="28"/>
          <w:shd w:val="clear"/>
        </w:rPr>
        <w:t>8069105014288888880</w:t>
      </w:r>
      <w:r>
        <w:rPr>
          <w:rFonts w:hint="eastAsia" w:ascii="仿宋" w:hAnsi="仿宋" w:eastAsia="仿宋" w:cs="仿宋"/>
          <w:b/>
          <w:bCs/>
          <w:i w:val="0"/>
          <w:caps w:val="0"/>
          <w:spacing w:val="0"/>
          <w:sz w:val="28"/>
          <w:szCs w:val="28"/>
          <w:shd w:val="clear"/>
          <w:lang w:val="en-US" w:eastAsia="zh-CN"/>
        </w:rPr>
        <w:t>2912</w:t>
      </w:r>
    </w:p>
    <w:p w14:paraId="00EE37BE">
      <w:pPr>
        <w:autoSpaceDE w:val="0"/>
        <w:autoSpaceDN w:val="0"/>
        <w:adjustRightInd w:val="0"/>
        <w:snapToGrid w:val="0"/>
        <w:ind w:firstLine="426" w:firstLineChars="200"/>
        <w:rPr>
          <w:rFonts w:ascii="宋体" w:hAnsi="宋体" w:eastAsia="宋体" w:cs="宋体"/>
          <w:b/>
          <w:bCs/>
          <w:color w:val="auto"/>
          <w:sz w:val="21"/>
          <w:szCs w:val="21"/>
        </w:rPr>
      </w:pPr>
      <w:r>
        <w:rPr>
          <w:rFonts w:hint="eastAsia" w:ascii="宋体" w:hAnsi="宋体" w:eastAsia="宋体" w:cs="宋体"/>
          <w:b/>
          <w:bCs/>
          <w:color w:val="auto"/>
          <w:sz w:val="21"/>
          <w:szCs w:val="21"/>
          <w:lang w:val="en-US" w:eastAsia="zh-CN"/>
        </w:rPr>
        <w:t>备</w:t>
      </w:r>
      <w:r>
        <w:rPr>
          <w:rFonts w:hint="eastAsia" w:ascii="宋体" w:hAnsi="宋体" w:eastAsia="宋体" w:cs="宋体"/>
          <w:b/>
          <w:bCs/>
          <w:color w:val="auto"/>
          <w:sz w:val="21"/>
          <w:szCs w:val="21"/>
        </w:rPr>
        <w:t>注：</w:t>
      </w:r>
      <w:r>
        <w:rPr>
          <w:rFonts w:hint="eastAsia" w:ascii="仿宋" w:hAnsi="仿宋" w:eastAsia="仿宋" w:cs="仿宋"/>
          <w:b/>
          <w:bCs/>
          <w:color w:val="auto"/>
          <w:sz w:val="21"/>
          <w:szCs w:val="21"/>
        </w:rPr>
        <w:t>1</w:t>
      </w:r>
      <w:r>
        <w:rPr>
          <w:rFonts w:hint="eastAsia" w:ascii="宋体" w:hAnsi="宋体" w:eastAsia="宋体" w:cs="宋体"/>
          <w:b/>
          <w:bCs/>
          <w:color w:val="auto"/>
          <w:sz w:val="21"/>
          <w:szCs w:val="21"/>
        </w:rPr>
        <w:t>、账户名称“</w:t>
      </w:r>
      <w:r>
        <w:rPr>
          <w:rFonts w:hint="eastAsia" w:ascii="宋体" w:hAnsi="宋体" w:eastAsia="宋体" w:cs="宋体"/>
          <w:b/>
          <w:bCs/>
          <w:color w:val="auto"/>
          <w:sz w:val="21"/>
          <w:szCs w:val="21"/>
          <w:u w:val="single"/>
        </w:rPr>
        <w:t>陕西省公共资源交易中心（资金性质：交易保证金专户）</w:t>
      </w:r>
      <w:r>
        <w:rPr>
          <w:rFonts w:hint="eastAsia" w:ascii="宋体" w:hAnsi="宋体" w:eastAsia="宋体" w:cs="宋体"/>
          <w:b/>
          <w:bCs/>
          <w:color w:val="auto"/>
          <w:sz w:val="21"/>
          <w:szCs w:val="21"/>
        </w:rPr>
        <w:t>”要用全称，包含括号里的内容，标点符号为中文字符；</w:t>
      </w:r>
    </w:p>
    <w:p w14:paraId="7B6B46BB">
      <w:pPr>
        <w:pStyle w:val="3"/>
        <w:numPr>
          <w:ilvl w:val="0"/>
          <w:numId w:val="1"/>
        </w:numPr>
        <w:ind w:firstLine="426"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项目如分标段，各标段应严格按照对应的子帐号交纳投标保证金，由于供应商自身原因造成保证金交纳错误的将被视为未按照竞争性磋商文件要求交纳保证金。</w:t>
      </w:r>
    </w:p>
    <w:p w14:paraId="7CF1F55F">
      <w:pPr>
        <w:numPr>
          <w:ilvl w:val="0"/>
          <w:numId w:val="2"/>
        </w:numPr>
        <w:ind w:firstLine="426"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电子保函操作手册详见</w:t>
      </w:r>
    </w:p>
    <w:p w14:paraId="3FF9B32A">
      <w:pPr>
        <w:numPr>
          <w:ilvl w:val="-1"/>
          <w:numId w:val="0"/>
        </w:numPr>
        <w:ind w:firstLine="426"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http://www.sxggzyjy.cn/xwzx/002002/20200527/2cad1083-c76c-465c-beb0-017de9f5bf4e.html。</w:t>
      </w:r>
    </w:p>
    <w:p w14:paraId="10E7503B">
      <w:pPr>
        <w:autoSpaceDE w:val="0"/>
        <w:autoSpaceDN w:val="0"/>
        <w:adjustRightInd w:val="0"/>
        <w:snapToGrid w:val="0"/>
        <w:spacing w:line="500" w:lineRule="exact"/>
        <w:ind w:firstLine="566"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中心财务处联系方式：</w:t>
      </w:r>
      <w:r>
        <w:rPr>
          <w:rFonts w:hint="eastAsia" w:ascii="仿宋" w:hAnsi="仿宋" w:eastAsia="仿宋" w:cs="仿宋"/>
          <w:color w:val="auto"/>
          <w:sz w:val="28"/>
          <w:szCs w:val="28"/>
          <w:highlight w:val="none"/>
        </w:rPr>
        <w:t>029-88661327    029-88661348</w:t>
      </w:r>
    </w:p>
    <w:p w14:paraId="269B4259">
      <w:pPr>
        <w:autoSpaceDE w:val="0"/>
        <w:autoSpaceDN w:val="0"/>
        <w:adjustRightInd w:val="0"/>
        <w:snapToGrid w:val="0"/>
        <w:spacing w:line="500" w:lineRule="exact"/>
        <w:ind w:firstLine="566" w:firstLineChars="200"/>
        <w:rPr>
          <w:rFonts w:hint="eastAsia" w:ascii="华文仿宋" w:hAnsi="华文仿宋" w:cs="华文仿宋"/>
          <w:color w:val="auto"/>
          <w:highlight w:val="none"/>
        </w:rPr>
      </w:pPr>
      <w:r>
        <w:rPr>
          <w:rFonts w:hint="eastAsia" w:ascii="华文仿宋" w:hAnsi="华文仿宋" w:eastAsia="华文仿宋" w:cs="华文仿宋"/>
          <w:color w:val="auto"/>
          <w:sz w:val="28"/>
          <w:szCs w:val="28"/>
          <w:highlight w:val="none"/>
        </w:rPr>
        <w:t>长安银行联系方式：</w:t>
      </w:r>
      <w:r>
        <w:rPr>
          <w:rFonts w:hint="eastAsia" w:ascii="仿宋" w:hAnsi="仿宋" w:eastAsia="仿宋" w:cs="仿宋"/>
          <w:color w:val="auto"/>
          <w:sz w:val="28"/>
          <w:szCs w:val="28"/>
          <w:highlight w:val="none"/>
        </w:rPr>
        <w:t>029-82565233    029-82565160</w:t>
      </w:r>
    </w:p>
    <w:p w14:paraId="1A40EBFB">
      <w:pPr>
        <w:autoSpaceDE w:val="0"/>
        <w:autoSpaceDN w:val="0"/>
        <w:adjustRightInd w:val="0"/>
        <w:snapToGrid w:val="0"/>
        <w:spacing w:line="500" w:lineRule="exact"/>
        <w:ind w:firstLine="566" w:firstLineChars="200"/>
        <w:rPr>
          <w:rFonts w:ascii="华文仿宋" w:hAnsi="华文仿宋" w:cs="华文仿宋"/>
          <w:color w:val="auto"/>
        </w:rPr>
      </w:pPr>
      <w:r>
        <w:rPr>
          <w:rFonts w:hint="eastAsia" w:ascii="华文仿宋" w:hAnsi="华文仿宋" w:cs="华文仿宋"/>
          <w:color w:val="auto"/>
        </w:rPr>
        <w:t>详见磋商文件第二章“磋商保证金”有关内容。</w:t>
      </w:r>
    </w:p>
    <w:p w14:paraId="758B55FA">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color w:val="auto"/>
        </w:rPr>
      </w:pPr>
      <w:bookmarkStart w:id="51" w:name="_Toc26192_WPSOffice_Level2"/>
      <w:bookmarkStart w:id="52" w:name="_Toc32026"/>
      <w:bookmarkStart w:id="53" w:name="_Toc21337_WPSOffice_Level2"/>
      <w:bookmarkStart w:id="54" w:name="_Toc9412_WPSOffice_Level2"/>
      <w:r>
        <w:rPr>
          <w:rFonts w:hint="eastAsia"/>
          <w:b/>
          <w:bCs/>
          <w:color w:val="auto"/>
        </w:rPr>
        <w:t>十</w:t>
      </w:r>
      <w:r>
        <w:rPr>
          <w:rFonts w:hint="eastAsia"/>
          <w:b/>
          <w:bCs/>
          <w:color w:val="auto"/>
          <w:lang w:val="en-US" w:eastAsia="zh-CN"/>
        </w:rPr>
        <w:t>三</w:t>
      </w:r>
      <w:r>
        <w:rPr>
          <w:rFonts w:hint="eastAsia"/>
          <w:b/>
          <w:bCs/>
          <w:color w:val="auto"/>
        </w:rPr>
        <w:t>、</w:t>
      </w:r>
      <w:r>
        <w:rPr>
          <w:b/>
          <w:color w:val="auto"/>
        </w:rPr>
        <w:t>提交</w:t>
      </w:r>
      <w:r>
        <w:rPr>
          <w:rFonts w:hint="eastAsia"/>
          <w:b/>
          <w:color w:val="auto"/>
        </w:rPr>
        <w:t>响应</w:t>
      </w:r>
      <w:r>
        <w:rPr>
          <w:b/>
          <w:color w:val="auto"/>
        </w:rPr>
        <w:t>文件截止时间及</w:t>
      </w:r>
      <w:r>
        <w:rPr>
          <w:rFonts w:hint="eastAsia"/>
          <w:b/>
          <w:color w:val="auto"/>
        </w:rPr>
        <w:t>开标</w:t>
      </w:r>
      <w:r>
        <w:rPr>
          <w:b/>
          <w:color w:val="auto"/>
        </w:rPr>
        <w:t>时间和地点</w:t>
      </w:r>
    </w:p>
    <w:p w14:paraId="22063F72">
      <w:pPr>
        <w:spacing w:line="500" w:lineRule="exact"/>
        <w:ind w:firstLine="566" w:firstLineChars="200"/>
        <w:rPr>
          <w:bCs/>
          <w:color w:val="auto"/>
        </w:rPr>
      </w:pPr>
      <w:r>
        <w:rPr>
          <w:rFonts w:hint="eastAsia" w:ascii="仿宋" w:hAnsi="仿宋" w:eastAsia="仿宋" w:cs="仿宋"/>
          <w:color w:val="auto"/>
        </w:rPr>
        <w:t>1</w:t>
      </w:r>
      <w:r>
        <w:rPr>
          <w:rFonts w:hint="eastAsia"/>
          <w:color w:val="auto"/>
        </w:rPr>
        <w:t>、提交响应文件：</w:t>
      </w:r>
      <w:r>
        <w:rPr>
          <w:rFonts w:hint="eastAsia"/>
          <w:bCs/>
          <w:color w:val="auto"/>
        </w:rPr>
        <w:t>本次投标需提交电子响应文件一份。</w:t>
      </w:r>
    </w:p>
    <w:p w14:paraId="4DE1BDEB">
      <w:pPr>
        <w:spacing w:line="500" w:lineRule="exact"/>
        <w:ind w:firstLine="566" w:firstLineChars="200"/>
        <w:rPr>
          <w:color w:val="auto"/>
        </w:rPr>
      </w:pPr>
      <w:r>
        <w:rPr>
          <w:rFonts w:hint="eastAsia"/>
          <w:color w:val="auto"/>
        </w:rPr>
        <w:t xml:space="preserve">电子响应文件（*.SXSTF）可于提交响应文件截止时间前任意时段登录全国公共资源交易平台（陕西省）网站进行提交，逾期系统将拒绝接收。  </w:t>
      </w:r>
    </w:p>
    <w:p w14:paraId="5B264F98">
      <w:pPr>
        <w:spacing w:line="500" w:lineRule="exact"/>
        <w:ind w:firstLine="566" w:firstLineChars="200"/>
        <w:rPr>
          <w:color w:val="0000FF"/>
        </w:rPr>
      </w:pPr>
      <w:r>
        <w:rPr>
          <w:rFonts w:hint="eastAsia" w:ascii="仿宋" w:hAnsi="仿宋" w:eastAsia="仿宋" w:cs="仿宋"/>
          <w:color w:val="auto"/>
        </w:rPr>
        <w:t>2</w:t>
      </w:r>
      <w:r>
        <w:rPr>
          <w:rFonts w:hint="eastAsia"/>
          <w:color w:val="auto"/>
        </w:rPr>
        <w:t>、提交响应文件截止时间：</w:t>
      </w:r>
      <w:r>
        <w:rPr>
          <w:rFonts w:hint="eastAsia" w:ascii="仿宋" w:hAnsi="仿宋" w:eastAsia="仿宋" w:cs="仿宋"/>
          <w:color w:val="auto"/>
          <w:lang w:val="zh-CN"/>
        </w:rPr>
        <w:t>202</w:t>
      </w:r>
      <w:r>
        <w:rPr>
          <w:rFonts w:hint="eastAsia" w:ascii="仿宋" w:hAnsi="仿宋" w:eastAsia="仿宋" w:cs="仿宋"/>
          <w:color w:val="auto"/>
          <w:lang w:val="en-US" w:eastAsia="zh-CN"/>
        </w:rPr>
        <w:t>1</w:t>
      </w:r>
      <w:r>
        <w:rPr>
          <w:rFonts w:hint="eastAsia"/>
          <w:color w:val="auto"/>
        </w:rPr>
        <w:t>年</w:t>
      </w:r>
      <w:r>
        <w:rPr>
          <w:rFonts w:hint="eastAsia" w:ascii="仿宋" w:hAnsi="仿宋" w:eastAsia="仿宋" w:cs="仿宋"/>
          <w:color w:val="auto"/>
          <w:lang w:val="en-US" w:eastAsia="zh-CN"/>
        </w:rPr>
        <w:t>2</w:t>
      </w:r>
      <w:r>
        <w:rPr>
          <w:rFonts w:hint="eastAsia"/>
          <w:color w:val="auto"/>
          <w:u w:val="none"/>
        </w:rPr>
        <w:t>月</w:t>
      </w:r>
      <w:r>
        <w:rPr>
          <w:rFonts w:hint="eastAsia" w:ascii="仿宋" w:hAnsi="仿宋" w:eastAsia="仿宋" w:cs="仿宋"/>
          <w:color w:val="auto"/>
          <w:u w:val="none"/>
          <w:lang w:val="en-US" w:eastAsia="zh-CN"/>
        </w:rPr>
        <w:t>24</w:t>
      </w:r>
      <w:r>
        <w:rPr>
          <w:rFonts w:hint="eastAsia"/>
          <w:color w:val="auto"/>
        </w:rPr>
        <w:t>日</w:t>
      </w:r>
      <w:r>
        <w:rPr>
          <w:rFonts w:hint="eastAsia" w:ascii="仿宋" w:hAnsi="仿宋" w:eastAsia="仿宋" w:cs="仿宋"/>
          <w:color w:val="auto"/>
          <w:lang w:val="zh-CN"/>
        </w:rPr>
        <w:t>9:</w:t>
      </w:r>
      <w:r>
        <w:rPr>
          <w:rFonts w:hint="eastAsia" w:ascii="仿宋" w:hAnsi="仿宋" w:eastAsia="仿宋" w:cs="仿宋"/>
          <w:color w:val="auto"/>
        </w:rPr>
        <w:t>30</w:t>
      </w:r>
      <w:r>
        <w:rPr>
          <w:rFonts w:hint="eastAsia" w:ascii="仿宋" w:hAnsi="仿宋" w:eastAsia="仿宋" w:cs="仿宋"/>
          <w:color w:val="0000FF"/>
          <w:lang w:val="zh-CN"/>
        </w:rPr>
        <w:t xml:space="preserve"> </w:t>
      </w:r>
    </w:p>
    <w:p w14:paraId="416BC5ED">
      <w:pPr>
        <w:spacing w:line="500" w:lineRule="exact"/>
        <w:ind w:firstLine="566" w:firstLineChars="200"/>
        <w:rPr>
          <w:color w:val="auto"/>
        </w:rPr>
      </w:pPr>
      <w:r>
        <w:rPr>
          <w:rFonts w:hint="eastAsia" w:ascii="仿宋" w:hAnsi="仿宋" w:eastAsia="仿宋" w:cs="仿宋"/>
          <w:color w:val="auto"/>
        </w:rPr>
        <w:t>3</w:t>
      </w:r>
      <w:r>
        <w:rPr>
          <w:rFonts w:hint="eastAsia"/>
          <w:color w:val="auto"/>
        </w:rPr>
        <w:t>、开标时间：同提交响应文件截止时间。</w:t>
      </w:r>
    </w:p>
    <w:p w14:paraId="575A6D46">
      <w:pPr>
        <w:spacing w:line="500" w:lineRule="exact"/>
        <w:ind w:left="849" w:leftChars="200" w:hanging="283" w:hangingChars="100"/>
        <w:rPr>
          <w:bCs/>
          <w:color w:val="auto"/>
        </w:rPr>
      </w:pPr>
      <w:r>
        <w:rPr>
          <w:rFonts w:hint="eastAsia" w:ascii="仿宋" w:hAnsi="仿宋" w:eastAsia="仿宋" w:cs="仿宋"/>
          <w:color w:val="auto"/>
        </w:rPr>
        <w:t>4</w:t>
      </w:r>
      <w:r>
        <w:rPr>
          <w:rFonts w:hint="eastAsia"/>
          <w:color w:val="auto"/>
        </w:rPr>
        <w:t>、开标地点：</w:t>
      </w:r>
      <w:r>
        <w:rPr>
          <w:rFonts w:hint="eastAsia"/>
          <w:bCs/>
          <w:color w:val="auto"/>
        </w:rPr>
        <w:t>西安市碑林区长安北路</w:t>
      </w:r>
      <w:r>
        <w:rPr>
          <w:rFonts w:hint="eastAsia" w:ascii="仿宋" w:hAnsi="仿宋" w:eastAsia="仿宋" w:cs="仿宋"/>
          <w:bCs/>
          <w:color w:val="auto"/>
        </w:rPr>
        <w:t>14</w:t>
      </w:r>
      <w:r>
        <w:rPr>
          <w:rFonts w:hint="eastAsia"/>
          <w:bCs/>
          <w:color w:val="auto"/>
        </w:rPr>
        <w:t>号陕西省公共资源交易中</w:t>
      </w:r>
    </w:p>
    <w:p w14:paraId="684F0152">
      <w:pPr>
        <w:pStyle w:val="2"/>
        <w:keepNext w:val="0"/>
        <w:keepLines w:val="0"/>
        <w:pageBreakBefore w:val="0"/>
        <w:widowControl/>
        <w:kinsoku/>
        <w:wordWrap w:val="0"/>
        <w:overflowPunct/>
        <w:topLinePunct w:val="0"/>
        <w:autoSpaceDE/>
        <w:autoSpaceDN/>
        <w:bidi w:val="0"/>
        <w:adjustRightInd/>
        <w:snapToGrid/>
        <w:spacing w:after="0" w:line="500" w:lineRule="exact"/>
        <w:ind w:firstLine="0" w:firstLineChars="0"/>
        <w:textAlignment w:val="auto"/>
        <w:rPr>
          <w:rFonts w:hint="eastAsia" w:ascii="Calibri Light" w:hAnsi="Calibri Light" w:eastAsia="华文仿宋" w:cs="Calibri Light"/>
          <w:bCs/>
          <w:color w:val="auto"/>
          <w:kern w:val="2"/>
          <w:sz w:val="28"/>
          <w:szCs w:val="28"/>
          <w:lang w:val="en-US" w:eastAsia="zh-CN" w:bidi="ar-SA"/>
        </w:rPr>
      </w:pPr>
      <w:r>
        <w:rPr>
          <w:rFonts w:hint="eastAsia" w:ascii="Calibri Light" w:hAnsi="Calibri Light" w:eastAsia="华文仿宋" w:cs="Calibri Light"/>
          <w:bCs/>
          <w:color w:val="auto"/>
          <w:kern w:val="2"/>
          <w:sz w:val="28"/>
          <w:szCs w:val="28"/>
          <w:lang w:val="en-US" w:eastAsia="zh-CN" w:bidi="ar-SA"/>
        </w:rPr>
        <w:t>心</w:t>
      </w:r>
      <w:r>
        <w:rPr>
          <w:rFonts w:hint="eastAsia" w:ascii="仿宋" w:hAnsi="仿宋" w:eastAsia="仿宋" w:cs="仿宋"/>
          <w:bCs w:val="0"/>
          <w:kern w:val="2"/>
          <w:sz w:val="28"/>
          <w:szCs w:val="28"/>
          <w:lang w:val="en-US" w:eastAsia="zh-CN" w:bidi="ar-SA"/>
        </w:rPr>
        <w:t>306</w:t>
      </w:r>
      <w:r>
        <w:rPr>
          <w:rFonts w:hint="eastAsia" w:ascii="Calibri Light" w:hAnsi="Calibri Light" w:eastAsia="华文仿宋" w:cs="Calibri Light"/>
          <w:bCs/>
          <w:color w:val="auto"/>
          <w:kern w:val="2"/>
          <w:sz w:val="28"/>
          <w:szCs w:val="28"/>
          <w:lang w:val="en-US" w:eastAsia="zh-CN" w:bidi="ar-SA"/>
        </w:rPr>
        <w:t>室。</w:t>
      </w:r>
    </w:p>
    <w:p w14:paraId="3B200C43">
      <w:pPr>
        <w:pStyle w:val="2"/>
        <w:keepNext w:val="0"/>
        <w:keepLines w:val="0"/>
        <w:pageBreakBefore w:val="0"/>
        <w:widowControl/>
        <w:numPr>
          <w:ilvl w:val="0"/>
          <w:numId w:val="3"/>
        </w:numPr>
        <w:kinsoku/>
        <w:wordWrap w:val="0"/>
        <w:overflowPunct/>
        <w:topLinePunct w:val="0"/>
        <w:autoSpaceDE/>
        <w:autoSpaceDN/>
        <w:bidi w:val="0"/>
        <w:adjustRightInd/>
        <w:snapToGrid/>
        <w:spacing w:after="0" w:line="500" w:lineRule="exact"/>
        <w:ind w:firstLine="566"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开标形式：本项目采用不见面开标方式。供应商需在开标前</w:t>
      </w:r>
      <w:r>
        <w:rPr>
          <w:rFonts w:hint="eastAsia" w:ascii="仿宋" w:hAnsi="仿宋" w:eastAsia="仿宋" w:cs="仿宋"/>
          <w:b/>
          <w:bCs/>
          <w:color w:val="000000" w:themeColor="text1"/>
          <w:sz w:val="28"/>
          <w:szCs w:val="28"/>
          <w:lang w:eastAsia="zh-CN"/>
          <w14:textFill>
            <w14:solidFill>
              <w14:schemeClr w14:val="tx1"/>
            </w14:solidFill>
          </w14:textFill>
        </w:rPr>
        <w:t>最少</w:t>
      </w:r>
      <w:r>
        <w:rPr>
          <w:rFonts w:hint="eastAsia" w:ascii="仿宋" w:hAnsi="仿宋" w:eastAsia="仿宋" w:cs="仿宋"/>
          <w:b/>
          <w:bCs/>
          <w:color w:val="000000" w:themeColor="text1"/>
          <w:sz w:val="28"/>
          <w:szCs w:val="28"/>
          <w14:textFill>
            <w14:solidFill>
              <w14:schemeClr w14:val="tx1"/>
            </w14:solidFill>
          </w14:textFill>
        </w:rPr>
        <w:t>半小时登录全国公共资源交易平台（陕西省）</w:t>
      </w:r>
      <w:r>
        <w:rPr>
          <w:rFonts w:hint="eastAsia" w:ascii="仿宋" w:hAnsi="仿宋" w:eastAsia="仿宋" w:cs="仿宋"/>
          <w:b/>
          <w:bCs/>
          <w:color w:val="000000" w:themeColor="text1"/>
          <w:sz w:val="28"/>
          <w:szCs w:val="28"/>
          <w:lang w:eastAsia="zh-CN"/>
          <w14:textFill>
            <w14:solidFill>
              <w14:schemeClr w14:val="tx1"/>
            </w14:solidFill>
          </w14:textFill>
        </w:rPr>
        <w:t>首页</w:t>
      </w:r>
      <w:r>
        <w:rPr>
          <w:rFonts w:hint="eastAsia" w:ascii="仿宋" w:hAnsi="仿宋" w:eastAsia="仿宋" w:cs="仿宋"/>
          <w:b/>
          <w:bCs/>
          <w:color w:val="000000" w:themeColor="text1"/>
          <w:sz w:val="28"/>
          <w:szCs w:val="28"/>
          <w14:textFill>
            <w14:solidFill>
              <w14:schemeClr w14:val="tx1"/>
            </w14:solidFill>
          </w14:textFill>
        </w:rPr>
        <w:t>选择“不见面开标</w:t>
      </w:r>
      <w:r>
        <w:rPr>
          <w:rFonts w:hint="eastAsia" w:ascii="仿宋" w:hAnsi="仿宋" w:eastAsia="仿宋" w:cs="仿宋"/>
          <w:b/>
          <w:bCs/>
          <w:color w:val="000000" w:themeColor="text1"/>
          <w:sz w:val="28"/>
          <w:szCs w:val="28"/>
          <w:lang w:val="en-US" w:eastAsia="zh-CN"/>
          <w14:textFill>
            <w14:solidFill>
              <w14:schemeClr w14:val="tx1"/>
            </w14:solidFill>
          </w14:textFill>
        </w:rPr>
        <w:t>-陕西省本级</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eastAsia="zh-CN"/>
          <w14:textFill>
            <w14:solidFill>
              <w14:schemeClr w14:val="tx1"/>
            </w14:solidFill>
          </w14:textFill>
        </w:rPr>
        <w:t>自行调试</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开标时，按照工作人员要求进行响应文件</w:t>
      </w:r>
      <w:r>
        <w:rPr>
          <w:rFonts w:hint="eastAsia" w:ascii="仿宋" w:hAnsi="仿宋" w:eastAsia="仿宋" w:cs="仿宋"/>
          <w:b/>
          <w:bCs/>
          <w:color w:val="000000" w:themeColor="text1"/>
          <w:sz w:val="28"/>
          <w:szCs w:val="28"/>
          <w14:textFill>
            <w14:solidFill>
              <w14:schemeClr w14:val="tx1"/>
            </w14:solidFill>
          </w14:textFill>
        </w:rPr>
        <w:t>解密，远程观看开标直播。</w:t>
      </w:r>
      <w:r>
        <w:rPr>
          <w:rFonts w:hint="eastAsia" w:ascii="仿宋" w:hAnsi="仿宋" w:eastAsia="仿宋" w:cs="仿宋"/>
          <w:b/>
          <w:bCs/>
          <w:color w:val="000000" w:themeColor="text1"/>
          <w:sz w:val="28"/>
          <w:szCs w:val="28"/>
          <w:lang w:val="en-US" w:eastAsia="zh-CN"/>
          <w14:textFill>
            <w14:solidFill>
              <w14:schemeClr w14:val="tx1"/>
            </w14:solidFill>
          </w14:textFill>
        </w:rPr>
        <w:t>并</w:t>
      </w:r>
      <w:r>
        <w:rPr>
          <w:rFonts w:hint="eastAsia" w:ascii="仿宋" w:hAnsi="仿宋" w:eastAsia="仿宋" w:cs="仿宋"/>
          <w:b/>
          <w:bCs/>
          <w:i w:val="0"/>
          <w:caps w:val="0"/>
          <w:color w:val="000000" w:themeColor="text1"/>
          <w:spacing w:val="0"/>
          <w:sz w:val="28"/>
          <w:szCs w:val="28"/>
          <w:shd w:val="clear" w:color="auto" w:fill="auto"/>
          <w:lang w:val="en-US" w:eastAsia="zh-CN"/>
          <w14:textFill>
            <w14:solidFill>
              <w14:schemeClr w14:val="tx1"/>
            </w14:solidFill>
          </w14:textFill>
        </w:rPr>
        <w:t>及时加入网络开标大厅公布的腾讯QQ群号，以便处理突发情况。</w:t>
      </w:r>
      <w:r>
        <w:rPr>
          <w:rFonts w:hint="eastAsia" w:ascii="仿宋" w:hAnsi="仿宋" w:eastAsia="仿宋" w:cs="仿宋"/>
          <w:b/>
          <w:bCs/>
          <w:color w:val="000000" w:themeColor="text1"/>
          <w:sz w:val="28"/>
          <w:szCs w:val="28"/>
          <w14:textFill>
            <w14:solidFill>
              <w14:schemeClr w14:val="tx1"/>
            </w14:solidFill>
          </w14:textFill>
        </w:rPr>
        <w:t>相关操作流程详见全国公共资源交易平台（陕西省）网站〖首页·〉服务指南·〉下载专区〗中的《陕西省公共资源交易中心政府采购项目远程不见面开标操作手册（供应商版）》。</w:t>
      </w:r>
    </w:p>
    <w:p w14:paraId="237E56CC">
      <w:pPr>
        <w:keepNext w:val="0"/>
        <w:keepLines w:val="0"/>
        <w:pageBreakBefore w:val="0"/>
        <w:widowControl/>
        <w:kinsoku/>
        <w:wordWrap/>
        <w:overflowPunct/>
        <w:topLinePunct w:val="0"/>
        <w:autoSpaceDE/>
        <w:autoSpaceDN/>
        <w:bidi w:val="0"/>
        <w:adjustRightInd/>
        <w:snapToGrid/>
        <w:spacing w:after="0" w:line="500" w:lineRule="exact"/>
        <w:ind w:firstLine="566" w:firstLineChars="200"/>
        <w:textAlignment w:val="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开标时，供应商应按照工作人员要求进行远程解密，如因供应商自身原因，如未携带数字认证证书等，在规定时间内未完成</w:t>
      </w:r>
      <w:r>
        <w:rPr>
          <w:rFonts w:hint="eastAsia" w:ascii="仿宋" w:hAnsi="仿宋" w:eastAsia="仿宋" w:cs="仿宋"/>
          <w:b/>
          <w:bCs/>
          <w:color w:val="000000" w:themeColor="text1"/>
          <w:lang w:eastAsia="zh-CN"/>
          <w14:textFill>
            <w14:solidFill>
              <w14:schemeClr w14:val="tx1"/>
            </w14:solidFill>
          </w14:textFill>
        </w:rPr>
        <w:t>响应文件</w:t>
      </w:r>
      <w:r>
        <w:rPr>
          <w:rFonts w:hint="eastAsia" w:ascii="仿宋" w:hAnsi="仿宋" w:eastAsia="仿宋" w:cs="仿宋"/>
          <w:b/>
          <w:bCs/>
          <w:color w:val="000000" w:themeColor="text1"/>
          <w14:textFill>
            <w14:solidFill>
              <w14:schemeClr w14:val="tx1"/>
            </w14:solidFill>
          </w14:textFill>
        </w:rPr>
        <w:t>解密，按无效投标对待。</w:t>
      </w:r>
    </w:p>
    <w:p w14:paraId="58DC8284">
      <w:pPr>
        <w:spacing w:line="500" w:lineRule="exact"/>
        <w:ind w:firstLine="566" w:firstLineChars="200"/>
        <w:rPr>
          <w:b/>
          <w:bCs/>
          <w:color w:val="auto"/>
        </w:rPr>
      </w:pPr>
      <w:r>
        <w:rPr>
          <w:rFonts w:hint="eastAsia"/>
          <w:b/>
          <w:bCs/>
          <w:color w:val="auto"/>
        </w:rPr>
        <w:t>十</w:t>
      </w:r>
      <w:r>
        <w:rPr>
          <w:rFonts w:hint="eastAsia"/>
          <w:b/>
          <w:bCs/>
          <w:color w:val="auto"/>
          <w:lang w:val="en-US" w:eastAsia="zh-CN"/>
        </w:rPr>
        <w:t>四</w:t>
      </w:r>
      <w:r>
        <w:rPr>
          <w:rFonts w:hint="eastAsia"/>
          <w:b/>
          <w:bCs/>
          <w:color w:val="auto"/>
        </w:rPr>
        <w:t>、采购代理机构收费标准：免费</w:t>
      </w:r>
      <w:bookmarkEnd w:id="51"/>
      <w:bookmarkEnd w:id="52"/>
      <w:bookmarkEnd w:id="53"/>
      <w:bookmarkEnd w:id="54"/>
    </w:p>
    <w:p w14:paraId="30240B08">
      <w:pPr>
        <w:spacing w:line="500" w:lineRule="exact"/>
        <w:ind w:firstLine="566" w:firstLineChars="200"/>
        <w:rPr>
          <w:rFonts w:hint="eastAsia"/>
          <w:b/>
          <w:bCs/>
          <w:color w:val="auto"/>
        </w:rPr>
      </w:pPr>
      <w:bookmarkStart w:id="55" w:name="_Toc14110_WPSOffice_Level2"/>
      <w:bookmarkStart w:id="56" w:name="_Toc17917"/>
      <w:bookmarkStart w:id="57" w:name="_Toc10758_WPSOffice_Level2"/>
      <w:bookmarkStart w:id="58" w:name="_Toc20005"/>
      <w:bookmarkStart w:id="59" w:name="_Toc22849_WPSOffice_Level2"/>
      <w:r>
        <w:rPr>
          <w:rFonts w:hint="eastAsia"/>
          <w:b/>
          <w:bCs/>
          <w:color w:val="auto"/>
        </w:rPr>
        <w:t>十</w:t>
      </w:r>
      <w:r>
        <w:rPr>
          <w:rFonts w:hint="eastAsia"/>
          <w:b/>
          <w:bCs/>
          <w:color w:val="auto"/>
          <w:lang w:val="en-US" w:eastAsia="zh-CN"/>
        </w:rPr>
        <w:t>五</w:t>
      </w:r>
      <w:r>
        <w:rPr>
          <w:rFonts w:hint="eastAsia"/>
          <w:b/>
          <w:bCs/>
          <w:color w:val="auto"/>
        </w:rPr>
        <w:t>、公告期自发布之日起三个工作日。</w:t>
      </w:r>
      <w:bookmarkEnd w:id="55"/>
      <w:bookmarkEnd w:id="56"/>
      <w:bookmarkEnd w:id="57"/>
      <w:bookmarkEnd w:id="58"/>
      <w:bookmarkEnd w:id="59"/>
    </w:p>
    <w:p w14:paraId="599848CB">
      <w:pPr>
        <w:spacing w:line="500" w:lineRule="exact"/>
        <w:ind w:firstLine="566" w:firstLineChars="200"/>
        <w:rPr>
          <w:rFonts w:hint="eastAsia" w:ascii="仿宋" w:hAnsi="仿宋" w:eastAsia="仿宋" w:cs="仿宋"/>
          <w:b/>
          <w:bCs/>
          <w:color w:val="000000" w:themeColor="text1"/>
          <w:lang w:val="en-US" w:eastAsia="zh-CN"/>
          <w14:textFill>
            <w14:solidFill>
              <w14:schemeClr w14:val="tx1"/>
            </w14:solidFill>
          </w14:textFill>
        </w:rPr>
      </w:pPr>
      <w:r>
        <w:rPr>
          <w:rFonts w:hint="eastAsia" w:cs="华文仿宋"/>
          <w:b/>
          <w:bCs/>
          <w:color w:val="000000" w:themeColor="text1"/>
          <w:lang w:val="en-US" w:eastAsia="zh-CN"/>
          <w14:textFill>
            <w14:solidFill>
              <w14:schemeClr w14:val="tx1"/>
            </w14:solidFill>
          </w14:textFill>
        </w:rPr>
        <w:t>十六、系统平台技术支持：</w:t>
      </w:r>
      <w:r>
        <w:rPr>
          <w:rFonts w:hint="eastAsia" w:ascii="仿宋" w:hAnsi="仿宋" w:eastAsia="仿宋" w:cs="仿宋"/>
          <w:b/>
          <w:bCs/>
          <w:color w:val="000000" w:themeColor="text1"/>
          <w:lang w:val="en-US" w:eastAsia="zh-CN"/>
          <w14:textFill>
            <w14:solidFill>
              <w14:schemeClr w14:val="tx1"/>
            </w14:solidFill>
          </w14:textFill>
        </w:rPr>
        <w:t>4009280095</w:t>
      </w:r>
    </w:p>
    <w:p w14:paraId="0BDAE57E">
      <w:pPr>
        <w:spacing w:line="500" w:lineRule="exact"/>
        <w:ind w:firstLine="566" w:firstLineChars="200"/>
        <w:rPr>
          <w:rFonts w:hint="eastAsia" w:ascii="仿宋" w:hAnsi="仿宋" w:eastAsia="仿宋" w:cs="仿宋"/>
          <w:b/>
          <w:bCs/>
          <w:color w:val="000000" w:themeColor="text1"/>
          <w14:textFill>
            <w14:solidFill>
              <w14:schemeClr w14:val="tx1"/>
            </w14:solidFill>
          </w14:textFill>
        </w:rPr>
      </w:pPr>
      <w:r>
        <w:rPr>
          <w:rFonts w:hint="eastAsia" w:cs="华文仿宋"/>
          <w:b/>
          <w:bCs/>
          <w:color w:val="000000" w:themeColor="text1"/>
          <w14:textFill>
            <w14:solidFill>
              <w14:schemeClr w14:val="tx1"/>
            </w14:solidFill>
          </w14:textFill>
        </w:rPr>
        <w:t>开标现场</w:t>
      </w:r>
      <w:r>
        <w:rPr>
          <w:rFonts w:hint="eastAsia" w:cs="华文仿宋"/>
          <w:b/>
          <w:bCs/>
          <w:color w:val="000000" w:themeColor="text1"/>
          <w:lang w:val="en-US" w:eastAsia="zh-CN"/>
          <w14:textFill>
            <w14:solidFill>
              <w14:schemeClr w14:val="tx1"/>
            </w14:solidFill>
          </w14:textFill>
        </w:rPr>
        <w:t>应急处理</w:t>
      </w:r>
      <w:r>
        <w:rPr>
          <w:rFonts w:hint="eastAsia" w:cs="华文仿宋"/>
          <w:b/>
          <w:bCs/>
          <w:color w:val="000000" w:themeColor="text1"/>
          <w14:textFill>
            <w14:solidFill>
              <w14:schemeClr w14:val="tx1"/>
            </w14:solidFill>
          </w14:textFill>
        </w:rPr>
        <w:t>电话</w:t>
      </w:r>
      <w:r>
        <w:rPr>
          <w:rFonts w:hint="eastAsia" w:cs="华文仿宋"/>
          <w:b/>
          <w:bCs/>
          <w:color w:val="000000" w:themeColor="text1"/>
          <w:lang w:eastAsia="zh-CN"/>
          <w14:textFill>
            <w14:solidFill>
              <w14:schemeClr w14:val="tx1"/>
            </w14:solidFill>
          </w14:textFill>
        </w:rPr>
        <w:t>：</w:t>
      </w:r>
      <w:r>
        <w:rPr>
          <w:rFonts w:hint="eastAsia" w:ascii="仿宋" w:hAnsi="仿宋" w:eastAsia="仿宋" w:cs="仿宋"/>
          <w:b/>
          <w:bCs/>
          <w:color w:val="000000" w:themeColor="text1"/>
          <w:lang w:val="en-US" w:eastAsia="zh-CN"/>
          <w14:textFill>
            <w14:solidFill>
              <w14:schemeClr w14:val="tx1"/>
            </w14:solidFill>
          </w14:textFill>
        </w:rPr>
        <w:t>029-</w:t>
      </w:r>
      <w:r>
        <w:rPr>
          <w:rFonts w:hint="eastAsia" w:ascii="仿宋" w:hAnsi="仿宋" w:eastAsia="仿宋" w:cs="仿宋"/>
          <w:b/>
          <w:bCs/>
          <w:color w:val="000000" w:themeColor="text1"/>
          <w14:textFill>
            <w14:solidFill>
              <w14:schemeClr w14:val="tx1"/>
            </w14:solidFill>
          </w14:textFill>
        </w:rPr>
        <w:t>88661306</w:t>
      </w:r>
    </w:p>
    <w:p w14:paraId="0295D2DA">
      <w:pPr>
        <w:pStyle w:val="2"/>
      </w:pPr>
    </w:p>
    <w:p w14:paraId="533F2B6C">
      <w:pPr>
        <w:spacing w:line="500" w:lineRule="exact"/>
        <w:ind w:firstLine="566" w:firstLineChars="200"/>
        <w:rPr>
          <w:rFonts w:hint="eastAsia" w:ascii="宋体" w:hAnsi="宋体" w:eastAsia="宋体" w:cs="宋体"/>
          <w:b/>
          <w:bCs/>
          <w:color w:val="auto"/>
        </w:rPr>
      </w:pPr>
    </w:p>
    <w:p w14:paraId="770E763C">
      <w:pPr>
        <w:spacing w:line="500" w:lineRule="exact"/>
        <w:ind w:firstLine="566" w:firstLineChars="200"/>
        <w:rPr>
          <w:rFonts w:hint="eastAsia" w:ascii="宋体" w:hAnsi="宋体" w:eastAsia="宋体" w:cs="宋体"/>
          <w:b/>
          <w:bCs/>
          <w:color w:val="auto"/>
        </w:rPr>
      </w:pPr>
    </w:p>
    <w:p w14:paraId="008BF50F">
      <w:pPr>
        <w:spacing w:line="500" w:lineRule="exact"/>
        <w:ind w:firstLine="566" w:firstLineChars="200"/>
        <w:rPr>
          <w:rFonts w:ascii="宋体" w:hAnsi="宋体" w:eastAsia="宋体" w:cs="宋体"/>
          <w:b/>
          <w:bCs/>
          <w:color w:val="auto"/>
        </w:rPr>
      </w:pPr>
      <w:r>
        <w:rPr>
          <w:rFonts w:hint="eastAsia" w:ascii="宋体" w:hAnsi="宋体" w:eastAsia="宋体" w:cs="宋体"/>
          <w:b/>
          <w:bCs/>
          <w:color w:val="auto"/>
        </w:rPr>
        <w:t>特别提醒：</w:t>
      </w:r>
    </w:p>
    <w:p w14:paraId="47BCF67C">
      <w:pPr>
        <w:numPr>
          <w:ilvl w:val="0"/>
          <w:numId w:val="0"/>
        </w:numPr>
        <w:spacing w:line="500" w:lineRule="exact"/>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1、本项目采用电子化投标及远程不见面开标方式。投标人须使用数字认证证书（CA锁）对电子</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文件进行签章、加密、递交及开标时解密等相关招投标事宜。开标前，供应商需登录网络开标大厅。开标时，按照工作人员要求进行远程解密，如因供应商自身原因造成无法解密</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文件，按无效投标对待。</w:t>
      </w:r>
    </w:p>
    <w:p w14:paraId="387E34E8">
      <w:pPr>
        <w:numPr>
          <w:ilvl w:val="0"/>
          <w:numId w:val="0"/>
        </w:numPr>
        <w:spacing w:line="500" w:lineRule="exact"/>
        <w:ind w:firstLine="426" w:firstLineChars="200"/>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t>、制作电子</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投标人须在“全国公共资源交易中心平台（陕西省）（http://www.sxggzyjy.cn/）”的“服务指南”栏目“下载专区”中，免费下载“陕西省公共资源交易平台政府采购电子标书制作工具”，并升级至最新版本，使用该客户端制作电子</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文件，制作扩展名为“.SXSTF”的电子</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w:t>
      </w:r>
    </w:p>
    <w:p w14:paraId="3DEBB7BF">
      <w:pPr>
        <w:numPr>
          <w:ilvl w:val="0"/>
          <w:numId w:val="0"/>
        </w:numPr>
        <w:wordWrap w:val="0"/>
        <w:spacing w:line="500" w:lineRule="exact"/>
        <w:ind w:firstLine="426" w:firstLineChars="200"/>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t>、递交电子</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登录全国公共资源交易中心平台（陕西省）（http://www.sxggzyjy.cn/），选择“电子交易平台—陕西政府采购交易系统—企业端”进行登录，登录后选择“交易乙方”身份进入，进入菜单“采购业务—我的项目——项目流程——上传响应文件”，上传加密的</w:t>
      </w:r>
      <w:r>
        <w:rPr>
          <w:rFonts w:hint="eastAsia" w:ascii="宋体" w:hAnsi="宋体" w:eastAsia="宋体" w:cs="宋体"/>
          <w:b/>
          <w:bCs/>
          <w:color w:val="auto"/>
          <w:sz w:val="21"/>
          <w:szCs w:val="21"/>
          <w:highlight w:val="none"/>
          <w:lang w:eastAsia="zh-CN"/>
        </w:rPr>
        <w:t>电子响应文件</w:t>
      </w:r>
      <w:r>
        <w:rPr>
          <w:rFonts w:hint="eastAsia" w:ascii="宋体" w:hAnsi="宋体" w:eastAsia="宋体" w:cs="宋体"/>
          <w:b/>
          <w:bCs/>
          <w:color w:val="auto"/>
          <w:sz w:val="21"/>
          <w:szCs w:val="21"/>
          <w:highlight w:val="none"/>
        </w:rPr>
        <w:t>。上传成功后，电子化平台将予以记录。</w:t>
      </w:r>
    </w:p>
    <w:p w14:paraId="03B3C586">
      <w:pPr>
        <w:pStyle w:val="2"/>
        <w:spacing w:after="0" w:line="500" w:lineRule="exact"/>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4、为了保证远程不见面开标顺利进行，供应商需使用配备音响</w:t>
      </w:r>
      <w:r>
        <w:rPr>
          <w:rFonts w:hint="eastAsia" w:ascii="宋体" w:hAnsi="宋体" w:eastAsia="宋体" w:cs="宋体"/>
          <w:b/>
          <w:bCs/>
          <w:color w:val="auto"/>
          <w:sz w:val="21"/>
          <w:szCs w:val="21"/>
          <w:highlight w:val="none"/>
          <w:lang w:val="en-US" w:eastAsia="zh-CN"/>
        </w:rPr>
        <w:t>和拾音</w:t>
      </w:r>
      <w:r>
        <w:rPr>
          <w:rFonts w:hint="eastAsia" w:ascii="宋体" w:hAnsi="宋体" w:eastAsia="宋体" w:cs="宋体"/>
          <w:b/>
          <w:bCs/>
          <w:color w:val="auto"/>
          <w:sz w:val="21"/>
          <w:szCs w:val="21"/>
          <w:highlight w:val="none"/>
        </w:rPr>
        <w:t>设备的电脑提前半小时登录网络开标大厅。相关操作培训请关注陕西省公共资源交易中心 &gt; 通知公告栏目。相关操作流程详见全国公共资源交易平台（陕西省）网站〖首页·〉服务指南·〉下载专区〗中的《陕西省公共资源交易中心政府采购项目远程不见面开标操作手册（供应商版）》。</w:t>
      </w:r>
    </w:p>
    <w:p w14:paraId="1BDE356B">
      <w:pPr>
        <w:pStyle w:val="2"/>
        <w:spacing w:after="0" w:line="500" w:lineRule="exact"/>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sz w:val="21"/>
          <w:szCs w:val="21"/>
        </w:rPr>
        <w:t>评审过程中，磋商小组要求投标人提交多轮（最后）磋商报价时，投标人须登录全国公共资源交易平台（陕西省）在交易系统中提交多轮（最后）报价，并用数字认证证书（CA锁）签章。</w:t>
      </w:r>
    </w:p>
    <w:p w14:paraId="180C2D90">
      <w:pPr>
        <w:pStyle w:val="4"/>
        <w:jc w:val="center"/>
        <w:rPr>
          <w:rFonts w:ascii="黑体" w:hAnsi="黑体" w:eastAsia="黑体"/>
          <w:color w:val="auto"/>
          <w:sz w:val="32"/>
          <w:szCs w:val="32"/>
        </w:rPr>
      </w:pPr>
      <w:r>
        <w:rPr>
          <w:color w:val="auto"/>
        </w:rPr>
        <w:br w:type="page"/>
      </w:r>
      <w:bookmarkStart w:id="60" w:name="_Toc27498"/>
      <w:bookmarkStart w:id="61" w:name="_Toc495014919"/>
      <w:bookmarkStart w:id="62" w:name="_Toc495014610"/>
      <w:bookmarkStart w:id="63" w:name="_Toc19337_WPSOffice_Level1"/>
      <w:bookmarkStart w:id="64" w:name="_Toc13528"/>
      <w:bookmarkStart w:id="65" w:name="_Toc495012770"/>
      <w:bookmarkStart w:id="66" w:name="_Toc24972"/>
      <w:bookmarkStart w:id="67" w:name="_Toc15046_WPSOffice_Level1"/>
      <w:bookmarkStart w:id="68" w:name="_Toc495014648"/>
      <w:bookmarkStart w:id="69" w:name="_Toc22804_WPSOffice_Level1"/>
      <w:bookmarkStart w:id="70" w:name="_Toc495014953"/>
      <w:bookmarkStart w:id="71" w:name="_Toc445306492"/>
      <w:bookmarkStart w:id="72" w:name="_Toc495014584"/>
      <w:bookmarkStart w:id="73" w:name="_Toc495012820"/>
      <w:r>
        <w:rPr>
          <w:rFonts w:ascii="黑体" w:hAnsi="黑体" w:eastAsia="黑体"/>
          <w:b w:val="0"/>
          <w:bCs/>
          <w:color w:val="auto"/>
          <w:sz w:val="32"/>
          <w:szCs w:val="32"/>
        </w:rPr>
        <w:t xml:space="preserve">第二章  </w:t>
      </w:r>
      <w:r>
        <w:rPr>
          <w:rFonts w:hint="eastAsia" w:ascii="黑体" w:hAnsi="黑体" w:eastAsia="黑体"/>
          <w:b w:val="0"/>
          <w:bCs/>
          <w:color w:val="auto"/>
          <w:sz w:val="32"/>
          <w:szCs w:val="32"/>
        </w:rPr>
        <w:t>供应商</w:t>
      </w:r>
      <w:r>
        <w:rPr>
          <w:rFonts w:ascii="黑体" w:hAnsi="黑体" w:eastAsia="黑体"/>
          <w:b w:val="0"/>
          <w:bCs/>
          <w:color w:val="auto"/>
          <w:sz w:val="32"/>
          <w:szCs w:val="32"/>
        </w:rPr>
        <w:t>须知</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6F752F7">
      <w:pPr>
        <w:pStyle w:val="5"/>
        <w:spacing w:line="500" w:lineRule="exact"/>
        <w:ind w:firstLine="566" w:firstLineChars="200"/>
        <w:rPr>
          <w:color w:val="auto"/>
          <w:sz w:val="28"/>
          <w:szCs w:val="28"/>
        </w:rPr>
      </w:pPr>
      <w:bookmarkStart w:id="74" w:name="_Toc5006"/>
      <w:bookmarkStart w:id="75" w:name="_Toc3858_WPSOffice_Level2"/>
      <w:bookmarkStart w:id="76" w:name="_Toc24451_WPSOffice_Level2"/>
      <w:bookmarkStart w:id="77" w:name="_Toc30026"/>
      <w:bookmarkStart w:id="78" w:name="_Toc18466_WPSOffice_Level2"/>
      <w:bookmarkStart w:id="79" w:name="_Toc15514"/>
      <w:r>
        <w:rPr>
          <w:rFonts w:hint="eastAsia"/>
          <w:color w:val="auto"/>
          <w:sz w:val="28"/>
          <w:szCs w:val="28"/>
        </w:rPr>
        <w:t>一、定义</w:t>
      </w:r>
      <w:bookmarkEnd w:id="74"/>
      <w:bookmarkEnd w:id="75"/>
      <w:bookmarkEnd w:id="76"/>
      <w:bookmarkEnd w:id="77"/>
      <w:bookmarkEnd w:id="78"/>
      <w:bookmarkEnd w:id="79"/>
    </w:p>
    <w:p w14:paraId="3F9D1A6F">
      <w:pPr>
        <w:spacing w:line="500" w:lineRule="exact"/>
        <w:ind w:firstLine="566" w:firstLineChars="200"/>
        <w:rPr>
          <w:rFonts w:hint="eastAsia" w:ascii="华文仿宋" w:hAnsi="华文仿宋" w:eastAsia="华文仿宋" w:cs="华文仿宋"/>
          <w:color w:val="auto"/>
          <w:lang w:val="en-US" w:eastAsia="zh-CN"/>
        </w:rPr>
      </w:pPr>
      <w:bookmarkStart w:id="80" w:name="_Toc11840_WPSOffice_Level3"/>
      <w:r>
        <w:rPr>
          <w:rFonts w:hint="eastAsia" w:ascii="华文仿宋" w:hAnsi="华文仿宋" w:cs="华文仿宋"/>
          <w:color w:val="auto"/>
        </w:rPr>
        <w:t>（一）采 购 人：</w:t>
      </w:r>
      <w:bookmarkEnd w:id="80"/>
      <w:bookmarkStart w:id="81" w:name="_Toc9917_WPSOffice_Level3"/>
      <w:r>
        <w:rPr>
          <w:rFonts w:hint="eastAsia" w:ascii="华文仿宋" w:hAnsi="华文仿宋" w:cs="华文仿宋"/>
          <w:color w:val="auto"/>
          <w:lang w:eastAsia="zh-CN"/>
        </w:rPr>
        <w:t>陕西省信访局</w:t>
      </w:r>
    </w:p>
    <w:p w14:paraId="564D817B">
      <w:pPr>
        <w:spacing w:line="500" w:lineRule="exact"/>
        <w:ind w:firstLine="566" w:firstLineChars="200"/>
        <w:rPr>
          <w:rFonts w:ascii="华文仿宋" w:hAnsi="华文仿宋" w:cs="华文仿宋"/>
          <w:color w:val="auto"/>
        </w:rPr>
      </w:pPr>
      <w:r>
        <w:rPr>
          <w:rFonts w:hint="eastAsia" w:ascii="华文仿宋" w:hAnsi="华文仿宋" w:cs="华文仿宋"/>
          <w:color w:val="auto"/>
        </w:rPr>
        <w:t>（二）监督机构：陕西省财政厅</w:t>
      </w:r>
      <w:bookmarkEnd w:id="81"/>
    </w:p>
    <w:p w14:paraId="5A1DA04F">
      <w:pPr>
        <w:spacing w:line="500" w:lineRule="exact"/>
        <w:ind w:firstLine="566" w:firstLineChars="200"/>
        <w:rPr>
          <w:rFonts w:ascii="华文仿宋" w:hAnsi="华文仿宋" w:cs="华文仿宋"/>
          <w:color w:val="auto"/>
        </w:rPr>
      </w:pPr>
      <w:bookmarkStart w:id="82" w:name="_Toc8219_WPSOffice_Level3"/>
      <w:r>
        <w:rPr>
          <w:rFonts w:hint="eastAsia" w:ascii="华文仿宋" w:hAnsi="华文仿宋" w:cs="华文仿宋"/>
          <w:color w:val="auto"/>
        </w:rPr>
        <w:t>（三）集中采购机构：陕西省省级单位政府采购中心</w:t>
      </w:r>
      <w:bookmarkEnd w:id="82"/>
    </w:p>
    <w:p w14:paraId="7D5ABAE7">
      <w:pPr>
        <w:spacing w:line="500" w:lineRule="exact"/>
        <w:ind w:firstLine="566" w:firstLineChars="200"/>
        <w:rPr>
          <w:rFonts w:ascii="华文仿宋" w:hAnsi="华文仿宋" w:cs="华文仿宋"/>
          <w:color w:val="auto"/>
        </w:rPr>
      </w:pPr>
      <w:bookmarkStart w:id="83" w:name="_Toc20141_WPSOffice_Level3"/>
      <w:r>
        <w:rPr>
          <w:rFonts w:hint="eastAsia" w:ascii="华文仿宋" w:hAnsi="华文仿宋" w:cs="华文仿宋"/>
          <w:color w:val="auto"/>
        </w:rPr>
        <w:t>（四）供应商：</w:t>
      </w:r>
      <w:r>
        <w:rPr>
          <w:rFonts w:hint="eastAsia"/>
          <w:color w:val="auto"/>
        </w:rPr>
        <w:t>拟向采购人提供货物、工程或者服务的法人、其他组织或者自然人</w:t>
      </w:r>
      <w:bookmarkEnd w:id="83"/>
    </w:p>
    <w:p w14:paraId="0DA5F35B">
      <w:pPr>
        <w:pStyle w:val="5"/>
        <w:spacing w:line="500" w:lineRule="exact"/>
        <w:ind w:firstLine="566" w:firstLineChars="200"/>
        <w:rPr>
          <w:rFonts w:ascii="华文仿宋" w:hAnsi="华文仿宋" w:cs="华文仿宋"/>
          <w:color w:val="auto"/>
          <w:sz w:val="28"/>
          <w:szCs w:val="28"/>
        </w:rPr>
      </w:pPr>
      <w:bookmarkStart w:id="84" w:name="_Toc27278_WPSOffice_Level2"/>
      <w:bookmarkStart w:id="85" w:name="_Toc2213"/>
      <w:bookmarkStart w:id="86" w:name="_Toc11745_WPSOffice_Level2"/>
      <w:bookmarkStart w:id="87" w:name="_Toc20906_WPSOffice_Level2"/>
      <w:bookmarkStart w:id="88" w:name="_Toc27753"/>
      <w:bookmarkStart w:id="89" w:name="_Toc16371"/>
      <w:r>
        <w:rPr>
          <w:rFonts w:hint="eastAsia" w:ascii="华文仿宋" w:hAnsi="华文仿宋" w:cs="华文仿宋"/>
          <w:color w:val="auto"/>
          <w:sz w:val="28"/>
          <w:szCs w:val="28"/>
        </w:rPr>
        <w:t>二、供应商注意事项</w:t>
      </w:r>
      <w:bookmarkEnd w:id="84"/>
      <w:bookmarkEnd w:id="85"/>
      <w:bookmarkEnd w:id="86"/>
      <w:bookmarkEnd w:id="87"/>
      <w:bookmarkEnd w:id="88"/>
      <w:bookmarkEnd w:id="89"/>
    </w:p>
    <w:p w14:paraId="43FE996F">
      <w:pPr>
        <w:spacing w:line="500" w:lineRule="exact"/>
        <w:ind w:firstLine="566" w:firstLineChars="200"/>
        <w:rPr>
          <w:b/>
          <w:bCs/>
          <w:color w:val="auto"/>
        </w:rPr>
      </w:pPr>
      <w:bookmarkStart w:id="90" w:name="_Toc21291"/>
      <w:bookmarkStart w:id="91" w:name="_Toc26982_WPSOffice_Level3"/>
      <w:r>
        <w:rPr>
          <w:rFonts w:hint="eastAsia"/>
          <w:b/>
          <w:bCs/>
          <w:color w:val="auto"/>
        </w:rPr>
        <w:t>（一）询问</w:t>
      </w:r>
      <w:bookmarkEnd w:id="90"/>
      <w:bookmarkEnd w:id="91"/>
    </w:p>
    <w:p w14:paraId="017F780A">
      <w:pPr>
        <w:spacing w:line="500" w:lineRule="exact"/>
        <w:ind w:firstLine="566" w:firstLineChars="200"/>
        <w:rPr>
          <w:rFonts w:ascii="华文仿宋" w:hAnsi="华文仿宋" w:cs="华文仿宋"/>
          <w:color w:val="auto"/>
        </w:rPr>
      </w:pPr>
      <w:r>
        <w:rPr>
          <w:rFonts w:hint="eastAsia" w:ascii="华文仿宋" w:hAnsi="华文仿宋" w:cs="华文仿宋"/>
          <w:color w:val="auto"/>
        </w:rPr>
        <w:t>供应商对政府采购活动事项有疑问的，可以向采购人或陕西省省级单位政府采购中心提出询问。采购人或陕西省省级单位政府采购中心将在3个工作日内对供应商依法提出的询问做出答复。询问内容超出采购人对陕西省省级单位政府采购中心委托授权范围的，供应商应当向采购人提出。</w:t>
      </w:r>
    </w:p>
    <w:p w14:paraId="15AEDFBA">
      <w:pPr>
        <w:spacing w:line="500" w:lineRule="exact"/>
        <w:ind w:firstLine="566" w:firstLineChars="200"/>
        <w:rPr>
          <w:rFonts w:ascii="华文仿宋" w:hAnsi="华文仿宋" w:cs="华文仿宋"/>
          <w:b/>
          <w:color w:val="auto"/>
        </w:rPr>
      </w:pPr>
      <w:bookmarkStart w:id="92" w:name="_Toc669_WPSOffice_Level3"/>
      <w:r>
        <w:rPr>
          <w:rFonts w:hint="eastAsia" w:ascii="华文仿宋" w:hAnsi="华文仿宋" w:cs="华文仿宋"/>
          <w:b/>
          <w:color w:val="auto"/>
        </w:rPr>
        <w:t>（二）现场踏勘及标前答疑会</w:t>
      </w:r>
      <w:bookmarkEnd w:id="92"/>
    </w:p>
    <w:p w14:paraId="6FE099F0">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Cs/>
          <w:color w:val="auto"/>
        </w:rPr>
      </w:pPr>
      <w:r>
        <w:rPr>
          <w:rFonts w:hint="eastAsia" w:ascii="华文仿宋" w:hAnsi="华文仿宋" w:cs="华文仿宋"/>
          <w:bCs/>
          <w:color w:val="auto"/>
        </w:rPr>
        <w:t>对于有计划举行项目现场踏勘和标前答疑会的，潜在供应商的项目主要负责人等须按时出席。需要答疑的问题各供应商可以口头或书面形式做出。采购代理机构、采购人将共同对各供应商提出的问题进行答复，并对供应商书面提出的问题形成答疑纪要，在网上发布公告。答疑纪要与磋商文件中不一致的内容，以答疑纪要为准。凡未参加现场踏勘和标前答疑的供应商，由此造成的偏差由各供应商自行负责。</w:t>
      </w:r>
    </w:p>
    <w:p w14:paraId="30262F14">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b/>
          <w:color w:val="auto"/>
        </w:rPr>
      </w:pPr>
      <w:r>
        <w:rPr>
          <w:rFonts w:hint="eastAsia" w:ascii="华文仿宋" w:hAnsi="华文仿宋" w:cs="华文仿宋"/>
          <w:b/>
          <w:color w:val="auto"/>
        </w:rPr>
        <w:t>本项目不组织集中踏勘和标前答疑。</w:t>
      </w:r>
    </w:p>
    <w:p w14:paraId="6F5D1D20">
      <w:pPr>
        <w:spacing w:line="500" w:lineRule="exact"/>
        <w:ind w:firstLine="566" w:firstLineChars="200"/>
        <w:rPr>
          <w:rFonts w:ascii="华文仿宋" w:hAnsi="华文仿宋" w:cs="华文仿宋"/>
          <w:b/>
          <w:color w:val="auto"/>
        </w:rPr>
      </w:pPr>
      <w:bookmarkStart w:id="93" w:name="_Toc9412_WPSOffice_Level3"/>
      <w:r>
        <w:rPr>
          <w:rFonts w:hint="eastAsia" w:ascii="华文仿宋" w:hAnsi="华文仿宋" w:cs="华文仿宋"/>
          <w:b/>
          <w:color w:val="auto"/>
        </w:rPr>
        <w:t>（三）质疑和投诉</w:t>
      </w:r>
      <w:bookmarkEnd w:id="93"/>
    </w:p>
    <w:p w14:paraId="0585F3C5">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供应商如果认为采购文件中涉及的采购需求（包括供应商资格条件、评审要素及分值设置、采购内容和要求、合同条款等）使自身的合法权益受到损害，可以在采购文件公告期限届满之日起</w:t>
      </w:r>
      <w:r>
        <w:rPr>
          <w:rFonts w:hint="eastAsia" w:ascii="仿宋" w:hAnsi="仿宋" w:eastAsia="仿宋" w:cs="仿宋"/>
          <w:color w:val="auto"/>
        </w:rPr>
        <w:t>7</w:t>
      </w:r>
      <w:r>
        <w:rPr>
          <w:rFonts w:hint="eastAsia" w:ascii="华文仿宋" w:hAnsi="华文仿宋" w:cs="华文仿宋"/>
          <w:color w:val="auto"/>
        </w:rPr>
        <w:t>个工作日内，以书面形式向采购人提出质疑；供应商如果认为采购程序、采购过程或成交结果使自身的合法权益受到损害，可以在知道或者应知其权益受到损害之日起</w:t>
      </w:r>
      <w:r>
        <w:rPr>
          <w:rFonts w:hint="eastAsia" w:ascii="仿宋" w:hAnsi="仿宋" w:eastAsia="仿宋" w:cs="仿宋"/>
          <w:color w:val="auto"/>
        </w:rPr>
        <w:t>7</w:t>
      </w:r>
      <w:r>
        <w:rPr>
          <w:rFonts w:hint="eastAsia" w:ascii="华文仿宋" w:hAnsi="华文仿宋" w:cs="华文仿宋"/>
          <w:color w:val="auto"/>
        </w:rPr>
        <w:t>个工作日内，以书面形式向陕西省省级单位政府采购中心提出质疑。</w:t>
      </w:r>
    </w:p>
    <w:p w14:paraId="78B1934E">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1、供应商提出质疑应当提交质疑函和必要的证明材料，并按财政部《质疑函范本》给定的格式进行填写，范本下载详见【财政部国库司（gks.mof.gov.cn）】网站〖首页•〉政府采购管理〗栏目中的《政府采购供应商质疑函范本》。</w:t>
      </w:r>
    </w:p>
    <w:p w14:paraId="622BFB5A">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《政府采购供应商质疑函范本》链接地址：</w:t>
      </w:r>
    </w:p>
    <w:p w14:paraId="2B509719">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http://gks.mof.gov.cn/zhengfucaigouguanli/201802/t20180201_2804589.html</w:t>
      </w:r>
    </w:p>
    <w:p w14:paraId="23F2D0A9">
      <w:pPr>
        <w:spacing w:line="500" w:lineRule="exact"/>
        <w:ind w:firstLine="566" w:firstLineChars="200"/>
        <w:contextualSpacing/>
        <w:rPr>
          <w:rFonts w:ascii="华文仿宋" w:hAnsi="华文仿宋" w:cs="华文仿宋"/>
          <w:color w:val="auto"/>
        </w:rPr>
      </w:pPr>
      <w:r>
        <w:rPr>
          <w:rFonts w:hint="eastAsia" w:ascii="仿宋" w:hAnsi="仿宋" w:eastAsia="仿宋" w:cs="仿宋"/>
          <w:color w:val="auto"/>
        </w:rPr>
        <w:t>2</w:t>
      </w:r>
      <w:r>
        <w:rPr>
          <w:rFonts w:hint="eastAsia" w:ascii="华文仿宋" w:hAnsi="华文仿宋" w:cs="华文仿宋"/>
          <w:color w:val="auto"/>
        </w:rPr>
        <w:t>、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1EEADD05">
      <w:pPr>
        <w:spacing w:line="500" w:lineRule="exact"/>
        <w:ind w:firstLine="566" w:firstLineChars="200"/>
        <w:contextualSpacing/>
        <w:rPr>
          <w:rFonts w:ascii="华文仿宋" w:hAnsi="华文仿宋" w:cs="华文仿宋"/>
          <w:color w:val="auto"/>
        </w:rPr>
      </w:pPr>
      <w:r>
        <w:rPr>
          <w:rFonts w:hint="eastAsia" w:ascii="仿宋" w:hAnsi="仿宋" w:eastAsia="仿宋" w:cs="仿宋"/>
          <w:color w:val="auto"/>
        </w:rPr>
        <w:t>3</w:t>
      </w:r>
      <w:r>
        <w:rPr>
          <w:rFonts w:hint="eastAsia" w:ascii="华文仿宋" w:hAnsi="华文仿宋" w:cs="华文仿宋"/>
          <w:color w:val="auto"/>
        </w:rPr>
        <w:t>、在法定质疑期内，针对同一采购程序环节的质疑应当一次性提出。采购代理机构或采购人将在收到书面质疑后</w:t>
      </w:r>
      <w:r>
        <w:rPr>
          <w:rFonts w:hint="eastAsia" w:ascii="仿宋" w:hAnsi="仿宋" w:eastAsia="仿宋" w:cs="仿宋"/>
          <w:color w:val="auto"/>
        </w:rPr>
        <w:t>7</w:t>
      </w:r>
      <w:r>
        <w:rPr>
          <w:rFonts w:hint="eastAsia" w:ascii="华文仿宋" w:hAnsi="华文仿宋" w:cs="华文仿宋"/>
          <w:color w:val="auto"/>
        </w:rPr>
        <w:t>个工作日内做出答复，并以书面形式通知质疑人和其他有关供应商。</w:t>
      </w:r>
    </w:p>
    <w:p w14:paraId="27DB8424">
      <w:pPr>
        <w:spacing w:line="500" w:lineRule="exact"/>
        <w:ind w:firstLine="566" w:firstLineChars="200"/>
        <w:contextualSpacing/>
        <w:rPr>
          <w:rFonts w:ascii="华文仿宋" w:hAnsi="华文仿宋" w:cs="华文仿宋"/>
          <w:color w:val="auto"/>
        </w:rPr>
      </w:pPr>
      <w:r>
        <w:rPr>
          <w:rFonts w:hint="eastAsia" w:ascii="仿宋" w:hAnsi="仿宋" w:eastAsia="仿宋" w:cs="仿宋"/>
          <w:color w:val="auto"/>
        </w:rPr>
        <w:t>4</w:t>
      </w:r>
      <w:r>
        <w:rPr>
          <w:rFonts w:hint="eastAsia" w:ascii="华文仿宋" w:hAnsi="华文仿宋" w:cs="华文仿宋"/>
          <w:color w:val="auto"/>
        </w:rPr>
        <w:t>、有下列情形之一的，属于无效质疑，陕西省省级单位政府采购中心和采购人不予受理：</w:t>
      </w:r>
    </w:p>
    <w:p w14:paraId="69C8D8A8">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1</w:t>
      </w:r>
      <w:r>
        <w:rPr>
          <w:rFonts w:hint="eastAsia" w:ascii="华文仿宋" w:hAnsi="华文仿宋" w:cs="华文仿宋"/>
          <w:color w:val="auto"/>
        </w:rPr>
        <w:t>）质疑人不是参与本次政府采购项目的供应商或潜在供应商；</w:t>
      </w:r>
    </w:p>
    <w:p w14:paraId="2B2080DB">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2</w:t>
      </w:r>
      <w:r>
        <w:rPr>
          <w:rFonts w:hint="eastAsia" w:ascii="华文仿宋" w:hAnsi="华文仿宋" w:cs="华文仿宋"/>
          <w:color w:val="auto"/>
        </w:rPr>
        <w:t>）质疑人与质疑事项不存在利害关系的；</w:t>
      </w:r>
    </w:p>
    <w:p w14:paraId="4528F095">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3</w:t>
      </w:r>
      <w:r>
        <w:rPr>
          <w:rFonts w:hint="eastAsia" w:ascii="华文仿宋" w:hAnsi="华文仿宋" w:cs="华文仿宋"/>
          <w:color w:val="auto"/>
        </w:rPr>
        <w:t>）未在法定期限内提出质疑的；</w:t>
      </w:r>
    </w:p>
    <w:p w14:paraId="3F2F9200">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4</w:t>
      </w:r>
      <w:r>
        <w:rPr>
          <w:rFonts w:hint="eastAsia" w:ascii="华文仿宋" w:hAnsi="华文仿宋" w:cs="华文仿宋"/>
          <w:color w:val="auto"/>
        </w:rPr>
        <w:t>）质疑未以书面形式提出，或质疑函主要内容构成不完整的，或缺乏必要的证明材料及证明材料不完整的；</w:t>
      </w:r>
    </w:p>
    <w:p w14:paraId="3D12F004">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5</w:t>
      </w:r>
      <w:r>
        <w:rPr>
          <w:rFonts w:hint="eastAsia" w:ascii="华文仿宋" w:hAnsi="华文仿宋" w:cs="华文仿宋"/>
          <w:color w:val="auto"/>
        </w:rPr>
        <w:t>）质疑函没有合法有效的签字、盖章或授权的；</w:t>
      </w:r>
    </w:p>
    <w:p w14:paraId="5DBA1722">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6</w:t>
      </w:r>
      <w:r>
        <w:rPr>
          <w:rFonts w:hint="eastAsia" w:ascii="华文仿宋" w:hAnsi="华文仿宋" w:cs="华文仿宋"/>
          <w:color w:val="auto"/>
        </w:rPr>
        <w:t>）以非法手段取得证据、材料的；</w:t>
      </w:r>
    </w:p>
    <w:p w14:paraId="2BBBDB1A">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7</w:t>
      </w:r>
      <w:r>
        <w:rPr>
          <w:rFonts w:hint="eastAsia" w:ascii="华文仿宋" w:hAnsi="华文仿宋" w:cs="华文仿宋"/>
          <w:color w:val="auto"/>
        </w:rPr>
        <w:t>）质疑答复后，同一质疑人就同一事项再次提出质疑的；</w:t>
      </w:r>
    </w:p>
    <w:p w14:paraId="4ECCB802">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8</w:t>
      </w:r>
      <w:r>
        <w:rPr>
          <w:rFonts w:hint="eastAsia" w:ascii="华文仿宋" w:hAnsi="华文仿宋" w:cs="华文仿宋"/>
          <w:color w:val="auto"/>
        </w:rPr>
        <w:t>）不符合法律、法规、规章和政府采购监管机构规定的其他条件的。</w:t>
      </w:r>
    </w:p>
    <w:p w14:paraId="27EAC5DE">
      <w:pPr>
        <w:spacing w:line="500" w:lineRule="exact"/>
        <w:ind w:firstLine="566" w:firstLineChars="200"/>
        <w:contextualSpacing/>
        <w:rPr>
          <w:rFonts w:ascii="华文仿宋" w:hAnsi="华文仿宋" w:cs="华文仿宋"/>
          <w:color w:val="auto"/>
        </w:rPr>
      </w:pPr>
      <w:r>
        <w:rPr>
          <w:rFonts w:hint="eastAsia" w:ascii="仿宋" w:hAnsi="仿宋" w:eastAsia="仿宋" w:cs="仿宋"/>
          <w:color w:val="auto"/>
        </w:rPr>
        <w:t>5</w:t>
      </w:r>
      <w:r>
        <w:rPr>
          <w:rFonts w:hint="eastAsia" w:ascii="华文仿宋" w:hAnsi="华文仿宋" w:cs="华文仿宋"/>
          <w:color w:val="auto"/>
        </w:rPr>
        <w:t>、质疑人对陕西省省级单位政府采购中心或采购人的答复不满意，以及陕西省省级单位政府采购中心或采购人未在规定时间内做出答复的，可以在答复期满后</w:t>
      </w:r>
      <w:r>
        <w:rPr>
          <w:rFonts w:hint="eastAsia" w:ascii="仿宋" w:hAnsi="仿宋" w:eastAsia="仿宋" w:cs="仿宋"/>
          <w:color w:val="auto"/>
        </w:rPr>
        <w:t>15</w:t>
      </w:r>
      <w:r>
        <w:rPr>
          <w:rFonts w:hint="eastAsia" w:ascii="华文仿宋" w:hAnsi="华文仿宋" w:cs="华文仿宋"/>
          <w:color w:val="auto"/>
        </w:rPr>
        <w:t>个工作日内向政府采购监管机构提出投诉。</w:t>
      </w:r>
    </w:p>
    <w:p w14:paraId="44865306">
      <w:pPr>
        <w:spacing w:line="500" w:lineRule="exact"/>
        <w:ind w:firstLine="566" w:firstLineChars="200"/>
        <w:rPr>
          <w:rFonts w:ascii="华文仿宋" w:hAnsi="华文仿宋" w:cs="华文仿宋"/>
          <w:color w:val="auto"/>
        </w:rPr>
      </w:pPr>
      <w:r>
        <w:rPr>
          <w:rFonts w:hint="eastAsia" w:ascii="仿宋" w:hAnsi="仿宋" w:eastAsia="仿宋" w:cs="仿宋"/>
          <w:color w:val="auto"/>
        </w:rPr>
        <w:t>6</w:t>
      </w:r>
      <w:r>
        <w:rPr>
          <w:rFonts w:hint="eastAsia" w:ascii="华文仿宋" w:hAnsi="华文仿宋" w:cs="华文仿宋"/>
          <w:color w:val="auto"/>
        </w:rPr>
        <w:t>、供应商投诉的事项不得超出已质疑事项的范围。</w:t>
      </w:r>
    </w:p>
    <w:p w14:paraId="11BB3499">
      <w:pPr>
        <w:spacing w:line="500" w:lineRule="exact"/>
        <w:ind w:firstLine="566" w:firstLineChars="200"/>
        <w:rPr>
          <w:rFonts w:ascii="华文仿宋" w:hAnsi="华文仿宋" w:cs="华文仿宋"/>
          <w:b/>
          <w:color w:val="auto"/>
        </w:rPr>
      </w:pPr>
      <w:r>
        <w:rPr>
          <w:rFonts w:hint="eastAsia" w:ascii="仿宋" w:hAnsi="仿宋" w:eastAsia="仿宋" w:cs="仿宋"/>
          <w:color w:val="auto"/>
        </w:rPr>
        <w:t>7</w:t>
      </w:r>
      <w:r>
        <w:rPr>
          <w:rFonts w:hint="eastAsia" w:ascii="华文仿宋" w:hAnsi="华文仿宋" w:cs="华文仿宋"/>
          <w:color w:val="auto"/>
        </w:rPr>
        <w:t>、</w:t>
      </w:r>
      <w:r>
        <w:rPr>
          <w:rFonts w:hint="eastAsia" w:ascii="华文仿宋" w:hAnsi="华文仿宋" w:cs="华文仿宋"/>
          <w:b/>
          <w:color w:val="auto"/>
        </w:rPr>
        <w:t>对捏造事实、提供虚假材料进行质疑、投诉的行为予以严肃处理：</w:t>
      </w:r>
    </w:p>
    <w:p w14:paraId="6D377BFD">
      <w:pPr>
        <w:spacing w:line="500" w:lineRule="exact"/>
        <w:ind w:firstLine="566" w:firstLineChars="200"/>
        <w:rPr>
          <w:rFonts w:ascii="华文仿宋" w:hAnsi="华文仿宋" w:cs="华文仿宋"/>
          <w:color w:val="auto"/>
        </w:rPr>
      </w:pPr>
      <w:r>
        <w:rPr>
          <w:rFonts w:hint="eastAsia"/>
          <w:color w:val="auto"/>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b/>
          <w:bCs/>
          <w:color w:val="auto"/>
        </w:rPr>
        <w:t>投诉人在全国范围内十二个月内三次以上投诉查无实据的，由财政部门列入不良行为记录名单</w:t>
      </w:r>
      <w:r>
        <w:rPr>
          <w:rFonts w:hint="eastAsia"/>
          <w:color w:val="auto"/>
        </w:rPr>
        <w:t>。对于捏造事实、提供虚假材料或者以非法手段取得证明材料进行投诉的，财政部门应当予以驳回，并将其列入不良行为记录名单，禁止其一至三年内参加政府采购活动。</w:t>
      </w:r>
    </w:p>
    <w:p w14:paraId="02231B21">
      <w:pPr>
        <w:spacing w:line="500" w:lineRule="exact"/>
        <w:ind w:firstLine="566" w:firstLineChars="200"/>
        <w:rPr>
          <w:rFonts w:ascii="华文仿宋" w:hAnsi="华文仿宋" w:cs="华文仿宋"/>
          <w:b/>
          <w:color w:val="auto"/>
        </w:rPr>
      </w:pPr>
      <w:r>
        <w:rPr>
          <w:rFonts w:hint="eastAsia" w:ascii="华文仿宋" w:hAnsi="华文仿宋" w:cs="华文仿宋"/>
          <w:color w:val="auto"/>
        </w:rPr>
        <w:t>8、</w:t>
      </w:r>
      <w:r>
        <w:rPr>
          <w:rFonts w:hint="eastAsia" w:ascii="华文仿宋" w:hAnsi="华文仿宋" w:cs="华文仿宋"/>
          <w:b/>
          <w:color w:val="auto"/>
        </w:rPr>
        <w:t>对捏造事实诬告陷害他人、诽谤他人的法律适用：</w:t>
      </w:r>
    </w:p>
    <w:p w14:paraId="26EB1519">
      <w:pPr>
        <w:spacing w:line="500" w:lineRule="exact"/>
        <w:ind w:firstLine="566" w:firstLineChars="200"/>
        <w:rPr>
          <w:rFonts w:ascii="华文仿宋" w:hAnsi="华文仿宋" w:cs="华文仿宋"/>
          <w:color w:val="auto"/>
        </w:rPr>
      </w:pPr>
      <w:r>
        <w:rPr>
          <w:rFonts w:hint="eastAsia" w:ascii="华文仿宋" w:hAnsi="华文仿宋" w:cs="华文仿宋"/>
          <w:color w:val="auto"/>
        </w:rPr>
        <w:t>《中华人民共和国刑法》第243条【诬告陷害罪】捏造事实诬告陷害他人，意图使他人受刑事追究，情节严重的，处三年以下有期徒刑、拘役或者管制；造成严重后果的，处三年以上十年以下有期徒刑。</w:t>
      </w:r>
    </w:p>
    <w:p w14:paraId="547E7E6B">
      <w:pPr>
        <w:spacing w:line="500" w:lineRule="exact"/>
        <w:ind w:firstLine="566" w:firstLineChars="200"/>
        <w:rPr>
          <w:rFonts w:ascii="华文仿宋" w:hAnsi="华文仿宋" w:cs="华文仿宋"/>
          <w:color w:val="auto"/>
        </w:rPr>
      </w:pPr>
      <w:r>
        <w:rPr>
          <w:rFonts w:hint="eastAsia" w:ascii="华文仿宋" w:hAnsi="华文仿宋" w:cs="华文仿宋"/>
          <w:color w:val="auto"/>
        </w:rPr>
        <w:t>《中华人民共和国刑法》第246条【侮辱罪、诽谤罪】以暴力或者其他方法公然侮辱他人或者捏造事实诽谤他人，情节严重的，处三年以下有期徒刑、拘役、管制或者剥夺政治权利。</w:t>
      </w:r>
    </w:p>
    <w:p w14:paraId="6E02FA52">
      <w:pPr>
        <w:spacing w:line="500" w:lineRule="exact"/>
        <w:ind w:firstLine="566" w:firstLineChars="200"/>
        <w:contextualSpacing/>
        <w:rPr>
          <w:rFonts w:ascii="仿宋" w:hAnsi="仿宋" w:eastAsia="仿宋"/>
          <w:color w:val="auto"/>
        </w:rPr>
      </w:pPr>
      <w:r>
        <w:rPr>
          <w:rFonts w:hint="eastAsia" w:ascii="仿宋" w:hAnsi="仿宋" w:eastAsia="仿宋" w:cs="Times New Roman"/>
          <w:color w:val="auto"/>
        </w:rPr>
        <w:t>9、质疑函递交地址：陕西省公共资源交易中心交易受理处</w:t>
      </w:r>
    </w:p>
    <w:p w14:paraId="6F8BF129">
      <w:pPr>
        <w:spacing w:line="500" w:lineRule="exact"/>
        <w:ind w:firstLine="566" w:firstLineChars="200"/>
        <w:contextualSpacing/>
        <w:rPr>
          <w:rFonts w:ascii="仿宋" w:hAnsi="仿宋" w:eastAsia="仿宋"/>
          <w:color w:val="auto"/>
        </w:rPr>
      </w:pPr>
      <w:r>
        <w:rPr>
          <w:rFonts w:hint="eastAsia" w:ascii="仿宋" w:hAnsi="仿宋" w:eastAsia="仿宋"/>
          <w:color w:val="auto"/>
        </w:rPr>
        <w:t>联系电话：</w:t>
      </w:r>
      <w:r>
        <w:rPr>
          <w:rFonts w:ascii="仿宋" w:hAnsi="仿宋" w:eastAsia="仿宋"/>
          <w:color w:val="auto"/>
        </w:rPr>
        <w:t>029-88661258</w:t>
      </w:r>
    </w:p>
    <w:p w14:paraId="47D345FE">
      <w:pPr>
        <w:pStyle w:val="42"/>
        <w:spacing w:line="500" w:lineRule="exact"/>
        <w:ind w:firstLine="566" w:firstLineChars="200"/>
        <w:contextualSpacing/>
        <w:rPr>
          <w:rFonts w:ascii="仿宋" w:hAnsi="仿宋" w:eastAsia="仿宋"/>
          <w:color w:val="auto"/>
        </w:rPr>
      </w:pPr>
      <w:r>
        <w:rPr>
          <w:rFonts w:hint="eastAsia" w:ascii="仿宋" w:hAnsi="仿宋" w:eastAsia="仿宋"/>
          <w:color w:val="auto"/>
        </w:rPr>
        <w:t>投诉书递交地址：</w:t>
      </w:r>
      <w:r>
        <w:rPr>
          <w:rFonts w:hint="eastAsia"/>
          <w:color w:val="auto"/>
        </w:rPr>
        <w:t>西安市莲湖区冰窖巷</w:t>
      </w:r>
      <w:r>
        <w:rPr>
          <w:rFonts w:hint="eastAsia" w:ascii="仿宋" w:hAnsi="仿宋" w:eastAsia="仿宋" w:cs="仿宋"/>
          <w:color w:val="auto"/>
        </w:rPr>
        <w:t>6</w:t>
      </w:r>
      <w:r>
        <w:rPr>
          <w:rFonts w:hint="eastAsia"/>
          <w:color w:val="auto"/>
        </w:rPr>
        <w:t>号</w:t>
      </w:r>
      <w:r>
        <w:rPr>
          <w:rFonts w:hint="eastAsia" w:ascii="仿宋" w:hAnsi="仿宋" w:eastAsia="仿宋"/>
          <w:color w:val="auto"/>
        </w:rPr>
        <w:t>陕西省财政厅</w:t>
      </w:r>
      <w:r>
        <w:rPr>
          <w:rFonts w:ascii="仿宋" w:hAnsi="仿宋" w:eastAsia="仿宋"/>
          <w:color w:val="auto"/>
        </w:rPr>
        <w:t>509</w:t>
      </w:r>
      <w:r>
        <w:rPr>
          <w:rFonts w:hint="eastAsia" w:ascii="仿宋" w:hAnsi="仿宋" w:eastAsia="仿宋"/>
          <w:color w:val="auto"/>
        </w:rPr>
        <w:t>室</w:t>
      </w:r>
    </w:p>
    <w:p w14:paraId="377C0893">
      <w:pPr>
        <w:spacing w:line="500" w:lineRule="exact"/>
        <w:ind w:firstLine="566" w:firstLineChars="200"/>
        <w:contextualSpacing/>
        <w:rPr>
          <w:rFonts w:ascii="华文仿宋" w:hAnsi="华文仿宋" w:cs="华文仿宋"/>
          <w:color w:val="auto"/>
        </w:rPr>
      </w:pPr>
      <w:r>
        <w:rPr>
          <w:rFonts w:hint="eastAsia" w:ascii="仿宋" w:hAnsi="仿宋" w:eastAsia="仿宋"/>
          <w:color w:val="auto"/>
        </w:rPr>
        <w:t>联系电话：</w:t>
      </w:r>
      <w:r>
        <w:rPr>
          <w:rFonts w:ascii="仿宋" w:hAnsi="仿宋" w:eastAsia="仿宋"/>
          <w:color w:val="auto"/>
        </w:rPr>
        <w:t>029-68936154</w:t>
      </w:r>
    </w:p>
    <w:p w14:paraId="0906FF20">
      <w:pPr>
        <w:spacing w:line="500" w:lineRule="exact"/>
        <w:ind w:firstLine="566" w:firstLineChars="200"/>
        <w:rPr>
          <w:rFonts w:ascii="华文仿宋" w:hAnsi="华文仿宋" w:cs="华文仿宋"/>
          <w:b/>
          <w:color w:val="auto"/>
        </w:rPr>
      </w:pPr>
      <w:bookmarkStart w:id="94" w:name="_Toc14110_WPSOffice_Level3"/>
      <w:r>
        <w:rPr>
          <w:rFonts w:hint="eastAsia" w:ascii="华文仿宋" w:hAnsi="华文仿宋" w:cs="华文仿宋"/>
          <w:b/>
          <w:color w:val="auto"/>
        </w:rPr>
        <w:t>（四）关于信用记录的查询和使用</w:t>
      </w:r>
    </w:p>
    <w:p w14:paraId="068F5A4C">
      <w:pPr>
        <w:keepNext w:val="0"/>
        <w:keepLines w:val="0"/>
        <w:pageBreakBefore w:val="0"/>
        <w:widowControl/>
        <w:kinsoku/>
        <w:wordWrap w:val="0"/>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rPr>
      </w:pPr>
      <w:r>
        <w:rPr>
          <w:rFonts w:hint="eastAsia" w:ascii="仿宋" w:hAnsi="仿宋" w:eastAsia="仿宋" w:cs="仿宋"/>
          <w:color w:val="auto"/>
        </w:rPr>
        <w:t>1、</w:t>
      </w:r>
      <w:r>
        <w:rPr>
          <w:rFonts w:hint="eastAsia" w:ascii="华文仿宋" w:hAnsi="华文仿宋" w:cs="华文仿宋"/>
          <w:color w:val="auto"/>
        </w:rPr>
        <w:t>磋商小组将在资格审查阶段通过【</w:t>
      </w:r>
      <w:r>
        <w:rPr>
          <w:color w:val="auto"/>
        </w:rPr>
        <w:fldChar w:fldCharType="begin"/>
      </w:r>
      <w:r>
        <w:rPr>
          <w:color w:val="auto"/>
        </w:rPr>
        <w:instrText xml:space="preserve"> HYPERLINK "http://www.creditchina.gov.cn" </w:instrText>
      </w:r>
      <w:r>
        <w:rPr>
          <w:color w:val="auto"/>
        </w:rPr>
        <w:fldChar w:fldCharType="separate"/>
      </w:r>
      <w:r>
        <w:rPr>
          <w:rStyle w:val="34"/>
          <w:rFonts w:hint="eastAsia" w:ascii="华文仿宋" w:hAnsi="华文仿宋" w:cs="华文仿宋"/>
          <w:color w:val="auto"/>
          <w:sz w:val="28"/>
        </w:rPr>
        <w:t>信用中国</w:t>
      </w:r>
      <w:r>
        <w:rPr>
          <w:rStyle w:val="34"/>
          <w:rFonts w:hint="eastAsia" w:ascii="华文仿宋" w:hAnsi="华文仿宋" w:cs="华文仿宋"/>
          <w:color w:val="auto"/>
          <w:sz w:val="28"/>
        </w:rPr>
        <w:fldChar w:fldCharType="end"/>
      </w:r>
      <w:r>
        <w:rPr>
          <w:rFonts w:hint="eastAsia" w:ascii="华文仿宋" w:hAnsi="华文仿宋" w:cs="华文仿宋"/>
          <w:color w:val="auto"/>
        </w:rPr>
        <w:t>（www.creditchina.gov.cn）】、【</w:t>
      </w:r>
      <w:r>
        <w:rPr>
          <w:color w:val="auto"/>
        </w:rPr>
        <w:fldChar w:fldCharType="begin"/>
      </w:r>
      <w:r>
        <w:rPr>
          <w:color w:val="auto"/>
        </w:rPr>
        <w:instrText xml:space="preserve"> HYPERLINK "http://www.ccgp.gov.cn/cr/list" </w:instrText>
      </w:r>
      <w:r>
        <w:rPr>
          <w:color w:val="auto"/>
        </w:rPr>
        <w:fldChar w:fldCharType="separate"/>
      </w:r>
      <w:r>
        <w:rPr>
          <w:rStyle w:val="34"/>
          <w:rFonts w:hint="eastAsia" w:ascii="华文仿宋" w:hAnsi="华文仿宋" w:cs="华文仿宋"/>
          <w:color w:val="auto"/>
          <w:sz w:val="28"/>
        </w:rPr>
        <w:t>中国政府采购网</w:t>
      </w:r>
      <w:r>
        <w:rPr>
          <w:rStyle w:val="34"/>
          <w:rFonts w:hint="eastAsia" w:ascii="华文仿宋" w:hAnsi="华文仿宋" w:cs="华文仿宋"/>
          <w:color w:val="auto"/>
          <w:sz w:val="28"/>
        </w:rPr>
        <w:fldChar w:fldCharType="end"/>
      </w:r>
      <w:r>
        <w:rPr>
          <w:rFonts w:hint="eastAsia" w:ascii="华文仿宋" w:hAnsi="华文仿宋" w:cs="华文仿宋"/>
          <w:color w:val="auto"/>
        </w:rPr>
        <w:t>（www.ccgp.gov.cn）】网站对响应文件中的《供应商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w:t>
      </w:r>
      <w:r>
        <w:rPr>
          <w:rFonts w:hint="eastAsia" w:ascii="仿宋" w:hAnsi="仿宋" w:eastAsia="仿宋" w:cs="仿宋"/>
          <w:color w:val="auto"/>
        </w:rPr>
        <w:t>〔2016〕125号）</w:t>
      </w:r>
      <w:r>
        <w:rPr>
          <w:rFonts w:hint="eastAsia" w:ascii="华文仿宋" w:hAnsi="华文仿宋" w:cs="华文仿宋"/>
          <w:color w:val="auto"/>
        </w:rPr>
        <w:t>的第二条第（三）款规定，其投标或成交资格将被取消。</w:t>
      </w:r>
    </w:p>
    <w:p w14:paraId="20FA77D7">
      <w:pPr>
        <w:spacing w:line="500" w:lineRule="exact"/>
        <w:ind w:firstLine="566" w:firstLineChars="200"/>
        <w:rPr>
          <w:rFonts w:ascii="华文仿宋" w:hAnsi="华文仿宋" w:cs="华文仿宋"/>
          <w:color w:val="auto"/>
        </w:rPr>
      </w:pPr>
      <w:r>
        <w:rPr>
          <w:rFonts w:hint="eastAsia" w:ascii="仿宋" w:hAnsi="仿宋" w:eastAsia="仿宋" w:cs="仿宋"/>
          <w:color w:val="auto"/>
        </w:rPr>
        <w:t>2、</w:t>
      </w:r>
      <w:r>
        <w:rPr>
          <w:rFonts w:hint="eastAsia" w:ascii="华文仿宋" w:hAnsi="华文仿宋" w:cs="华文仿宋"/>
          <w:color w:val="auto"/>
        </w:rPr>
        <w:t>供应商在参加政府采购活动前</w:t>
      </w:r>
      <w:r>
        <w:rPr>
          <w:rFonts w:hint="eastAsia" w:ascii="仿宋" w:hAnsi="仿宋" w:eastAsia="仿宋" w:cs="仿宋"/>
          <w:color w:val="auto"/>
        </w:rPr>
        <w:t>3</w:t>
      </w:r>
      <w:r>
        <w:rPr>
          <w:rFonts w:hint="eastAsia" w:ascii="华文仿宋" w:hAnsi="华文仿宋" w:cs="华文仿宋"/>
          <w:color w:val="auto"/>
        </w:rPr>
        <w:t>年内因违法经营被禁止在一定期限内参加政府采购活动，期限届满的，可以参加政府采购活动的，但供应商应提供相关证明材料。</w:t>
      </w:r>
    </w:p>
    <w:p w14:paraId="355723B0">
      <w:pPr>
        <w:spacing w:line="500" w:lineRule="exact"/>
        <w:ind w:firstLine="566" w:firstLineChars="200"/>
        <w:rPr>
          <w:rFonts w:ascii="华文仿宋" w:hAnsi="华文仿宋" w:cs="华文仿宋"/>
          <w:color w:val="auto"/>
        </w:rPr>
      </w:pPr>
      <w:r>
        <w:rPr>
          <w:rFonts w:hint="eastAsia" w:ascii="仿宋" w:hAnsi="仿宋" w:eastAsia="仿宋" w:cs="仿宋"/>
          <w:color w:val="auto"/>
        </w:rPr>
        <w:t>3、</w:t>
      </w:r>
      <w:r>
        <w:rPr>
          <w:rFonts w:hint="eastAsia" w:ascii="华文仿宋" w:hAnsi="华文仿宋" w:cs="华文仿宋"/>
          <w:color w:val="auto"/>
        </w:rPr>
        <w:t>供应商信用记录查询的时间段为“磋商公告发布之日（含当日）至提交响应文件截止之日（不含当日）”。信用记录查询的结果，可以纸质截图或将截图保存至电子介质的形式留存。供应商未如实填报《供应商书面声明函》的，视为“供应商提供虚假材料谋取中标、成交的”行为。</w:t>
      </w:r>
    </w:p>
    <w:p w14:paraId="220EEDF4">
      <w:pPr>
        <w:spacing w:line="500" w:lineRule="exact"/>
        <w:ind w:firstLine="566" w:firstLineChars="200"/>
        <w:rPr>
          <w:rFonts w:ascii="华文仿宋" w:hAnsi="华文仿宋" w:cs="华文仿宋"/>
          <w:b/>
          <w:color w:val="auto"/>
        </w:rPr>
      </w:pPr>
      <w:r>
        <w:rPr>
          <w:rFonts w:hint="eastAsia" w:ascii="仿宋" w:hAnsi="仿宋" w:eastAsia="仿宋" w:cs="仿宋"/>
          <w:color w:val="auto"/>
        </w:rPr>
        <w:t>4、</w:t>
      </w:r>
      <w:r>
        <w:rPr>
          <w:rFonts w:hint="eastAsia" w:ascii="华文仿宋" w:hAnsi="华文仿宋" w:cs="华文仿宋"/>
          <w:color w:val="auto"/>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E87AED8">
      <w:pPr>
        <w:spacing w:line="500" w:lineRule="exact"/>
        <w:ind w:firstLine="566" w:firstLineChars="200"/>
        <w:rPr>
          <w:rFonts w:ascii="华文仿宋" w:hAnsi="华文仿宋" w:cs="华文仿宋"/>
          <w:b/>
          <w:color w:val="auto"/>
        </w:rPr>
      </w:pPr>
      <w:r>
        <w:rPr>
          <w:rFonts w:hint="eastAsia" w:ascii="华文仿宋" w:hAnsi="华文仿宋" w:cs="华文仿宋"/>
          <w:b/>
          <w:color w:val="auto"/>
        </w:rPr>
        <w:t>（五）落实的政府采购政策</w:t>
      </w:r>
      <w:bookmarkEnd w:id="94"/>
    </w:p>
    <w:p w14:paraId="6208F33B">
      <w:pPr>
        <w:spacing w:line="500" w:lineRule="exact"/>
        <w:ind w:firstLine="566" w:firstLineChars="200"/>
        <w:rPr>
          <w:rFonts w:hint="eastAsia" w:ascii="华文仿宋" w:hAnsi="华文仿宋" w:cs="华文仿宋"/>
          <w:color w:val="auto"/>
          <w:lang w:val="en-US" w:eastAsia="zh-CN"/>
        </w:rPr>
      </w:pPr>
      <w:r>
        <w:rPr>
          <w:rFonts w:hint="eastAsia" w:ascii="仿宋" w:hAnsi="仿宋" w:eastAsia="仿宋" w:cs="仿宋"/>
          <w:color w:val="auto"/>
          <w:sz w:val="28"/>
          <w:szCs w:val="28"/>
        </w:rPr>
        <w:t>1</w:t>
      </w:r>
      <w:r>
        <w:rPr>
          <w:rFonts w:hint="eastAsia" w:ascii="华文仿宋" w:hAnsi="华文仿宋" w:cs="华文仿宋"/>
          <w:color w:val="auto"/>
          <w:sz w:val="28"/>
          <w:szCs w:val="28"/>
        </w:rPr>
        <w:t>、根据《</w:t>
      </w:r>
      <w:bookmarkStart w:id="95" w:name="OLE_LINK2"/>
      <w:bookmarkStart w:id="96" w:name="OLE_LINK1"/>
      <w:bookmarkStart w:id="97" w:name="OLE_LINK3"/>
      <w:r>
        <w:rPr>
          <w:rFonts w:hint="eastAsia" w:ascii="华文仿宋" w:hAnsi="华文仿宋" w:cs="华文仿宋"/>
          <w:color w:val="auto"/>
          <w:sz w:val="28"/>
          <w:szCs w:val="28"/>
        </w:rPr>
        <w:t>政府采购促进中小企业发展</w:t>
      </w:r>
      <w:r>
        <w:rPr>
          <w:rFonts w:hint="eastAsia" w:ascii="华文仿宋" w:hAnsi="华文仿宋" w:cs="华文仿宋"/>
          <w:color w:val="auto"/>
          <w:sz w:val="28"/>
          <w:szCs w:val="28"/>
          <w:lang w:val="en-US" w:eastAsia="zh-CN"/>
        </w:rPr>
        <w:t>管理</w:t>
      </w:r>
      <w:r>
        <w:rPr>
          <w:rFonts w:hint="eastAsia" w:ascii="华文仿宋" w:hAnsi="华文仿宋" w:cs="华文仿宋"/>
          <w:color w:val="auto"/>
          <w:sz w:val="28"/>
          <w:szCs w:val="28"/>
        </w:rPr>
        <w:t>办法</w:t>
      </w:r>
      <w:bookmarkEnd w:id="95"/>
      <w:bookmarkEnd w:id="96"/>
      <w:bookmarkEnd w:id="97"/>
      <w:r>
        <w:rPr>
          <w:rFonts w:hint="eastAsia" w:ascii="华文仿宋" w:hAnsi="华文仿宋" w:cs="华文仿宋"/>
          <w:color w:val="auto"/>
          <w:sz w:val="28"/>
          <w:szCs w:val="28"/>
        </w:rPr>
        <w:t>》（财库〔</w:t>
      </w: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20</w:t>
      </w:r>
      <w:r>
        <w:rPr>
          <w:rFonts w:hint="eastAsia" w:ascii="华文仿宋" w:hAnsi="华文仿宋" w:cs="华文仿宋"/>
          <w:color w:val="auto"/>
          <w:sz w:val="28"/>
          <w:szCs w:val="28"/>
        </w:rPr>
        <w:t>〕</w:t>
      </w:r>
      <w:r>
        <w:rPr>
          <w:rFonts w:hint="eastAsia" w:ascii="仿宋" w:hAnsi="仿宋" w:eastAsia="仿宋" w:cs="仿宋"/>
          <w:color w:val="auto"/>
          <w:sz w:val="28"/>
          <w:szCs w:val="28"/>
          <w:lang w:val="en-US" w:eastAsia="zh-CN"/>
        </w:rPr>
        <w:t>46</w:t>
      </w:r>
      <w:r>
        <w:rPr>
          <w:rFonts w:hint="eastAsia" w:ascii="华文仿宋" w:hAnsi="华文仿宋" w:cs="华文仿宋"/>
          <w:color w:val="auto"/>
          <w:sz w:val="28"/>
          <w:szCs w:val="28"/>
        </w:rPr>
        <w:t>号）的有关规定，</w:t>
      </w:r>
      <w:r>
        <w:rPr>
          <w:rFonts w:hint="eastAsia" w:ascii="华文仿宋" w:hAnsi="华文仿宋" w:eastAsia="华文仿宋" w:cs="华文仿宋"/>
          <w:b w:val="0"/>
          <w:bCs w:val="0"/>
          <w:color w:val="auto"/>
          <w:kern w:val="2"/>
          <w:sz w:val="28"/>
          <w:szCs w:val="28"/>
          <w:lang w:val="en-US" w:eastAsia="zh-CN" w:bidi="ar-SA"/>
        </w:rPr>
        <w:t>在货物采购项目中，货物由小微企业制造，即货物由小</w:t>
      </w:r>
      <w:r>
        <w:rPr>
          <w:rFonts w:hint="eastAsia" w:ascii="华文仿宋" w:hAnsi="华文仿宋" w:cs="华文仿宋"/>
          <w:b w:val="0"/>
          <w:bCs w:val="0"/>
          <w:color w:val="auto"/>
          <w:kern w:val="2"/>
          <w:sz w:val="28"/>
          <w:szCs w:val="28"/>
          <w:lang w:val="en-US" w:eastAsia="zh-CN" w:bidi="ar-SA"/>
        </w:rPr>
        <w:t>微</w:t>
      </w:r>
      <w:r>
        <w:rPr>
          <w:rFonts w:hint="eastAsia" w:ascii="华文仿宋" w:hAnsi="华文仿宋" w:eastAsia="华文仿宋" w:cs="华文仿宋"/>
          <w:b w:val="0"/>
          <w:bCs w:val="0"/>
          <w:color w:val="auto"/>
          <w:kern w:val="2"/>
          <w:sz w:val="28"/>
          <w:szCs w:val="28"/>
          <w:lang w:val="en-US" w:eastAsia="zh-CN" w:bidi="ar-SA"/>
        </w:rPr>
        <w:t>企业生产且使用该</w:t>
      </w:r>
      <w:r>
        <w:rPr>
          <w:rFonts w:hint="eastAsia" w:ascii="华文仿宋" w:hAnsi="华文仿宋" w:cs="华文仿宋"/>
          <w:b w:val="0"/>
          <w:bCs w:val="0"/>
          <w:color w:val="auto"/>
          <w:kern w:val="2"/>
          <w:sz w:val="28"/>
          <w:szCs w:val="28"/>
          <w:lang w:val="en-US" w:eastAsia="zh-CN" w:bidi="ar-SA"/>
        </w:rPr>
        <w:t>小微</w:t>
      </w:r>
      <w:r>
        <w:rPr>
          <w:rFonts w:hint="eastAsia" w:ascii="华文仿宋" w:hAnsi="华文仿宋" w:eastAsia="华文仿宋" w:cs="华文仿宋"/>
          <w:b w:val="0"/>
          <w:bCs w:val="0"/>
          <w:color w:val="auto"/>
          <w:kern w:val="2"/>
          <w:sz w:val="28"/>
          <w:szCs w:val="28"/>
          <w:lang w:val="en-US" w:eastAsia="zh-CN" w:bidi="ar-SA"/>
        </w:rPr>
        <w:t>企业商号或者注册商标；在工程采购项目中，工程由</w:t>
      </w:r>
      <w:r>
        <w:rPr>
          <w:rFonts w:hint="eastAsia" w:ascii="华文仿宋" w:hAnsi="华文仿宋" w:cs="华文仿宋"/>
          <w:b w:val="0"/>
          <w:bCs w:val="0"/>
          <w:color w:val="auto"/>
          <w:kern w:val="2"/>
          <w:sz w:val="28"/>
          <w:szCs w:val="28"/>
          <w:lang w:val="en-US" w:eastAsia="zh-CN" w:bidi="ar-SA"/>
        </w:rPr>
        <w:t>小微</w:t>
      </w:r>
      <w:r>
        <w:rPr>
          <w:rFonts w:hint="eastAsia" w:ascii="华文仿宋" w:hAnsi="华文仿宋" w:eastAsia="华文仿宋" w:cs="华文仿宋"/>
          <w:b w:val="0"/>
          <w:bCs w:val="0"/>
          <w:color w:val="auto"/>
          <w:kern w:val="2"/>
          <w:sz w:val="28"/>
          <w:szCs w:val="28"/>
          <w:lang w:val="en-US" w:eastAsia="zh-CN" w:bidi="ar-SA"/>
        </w:rPr>
        <w:t>企业承建，即工程施工单位为</w:t>
      </w:r>
      <w:r>
        <w:rPr>
          <w:rFonts w:hint="eastAsia" w:ascii="华文仿宋" w:hAnsi="华文仿宋" w:cs="华文仿宋"/>
          <w:b w:val="0"/>
          <w:bCs w:val="0"/>
          <w:color w:val="auto"/>
          <w:kern w:val="2"/>
          <w:sz w:val="28"/>
          <w:szCs w:val="28"/>
          <w:lang w:val="en-US" w:eastAsia="zh-CN" w:bidi="ar-SA"/>
        </w:rPr>
        <w:t>小微</w:t>
      </w:r>
      <w:r>
        <w:rPr>
          <w:rFonts w:hint="eastAsia" w:ascii="华文仿宋" w:hAnsi="华文仿宋" w:eastAsia="华文仿宋" w:cs="华文仿宋"/>
          <w:b w:val="0"/>
          <w:bCs w:val="0"/>
          <w:color w:val="auto"/>
          <w:kern w:val="2"/>
          <w:sz w:val="28"/>
          <w:szCs w:val="28"/>
          <w:lang w:val="en-US" w:eastAsia="zh-CN" w:bidi="ar-SA"/>
        </w:rPr>
        <w:t>企业；在服务采购项目中，服务由</w:t>
      </w:r>
      <w:r>
        <w:rPr>
          <w:rFonts w:hint="eastAsia" w:ascii="华文仿宋" w:hAnsi="华文仿宋" w:cs="华文仿宋"/>
          <w:b w:val="0"/>
          <w:bCs w:val="0"/>
          <w:color w:val="auto"/>
          <w:kern w:val="2"/>
          <w:sz w:val="28"/>
          <w:szCs w:val="28"/>
          <w:lang w:val="en-US" w:eastAsia="zh-CN" w:bidi="ar-SA"/>
        </w:rPr>
        <w:t>小微</w:t>
      </w:r>
      <w:r>
        <w:rPr>
          <w:rFonts w:hint="eastAsia" w:ascii="华文仿宋" w:hAnsi="华文仿宋" w:eastAsia="华文仿宋" w:cs="华文仿宋"/>
          <w:b w:val="0"/>
          <w:bCs w:val="0"/>
          <w:color w:val="auto"/>
          <w:kern w:val="2"/>
          <w:sz w:val="28"/>
          <w:szCs w:val="28"/>
          <w:lang w:val="en-US" w:eastAsia="zh-CN" w:bidi="ar-SA"/>
        </w:rPr>
        <w:t>企业承接，即提供服务的人员为</w:t>
      </w:r>
      <w:r>
        <w:rPr>
          <w:rFonts w:hint="eastAsia" w:ascii="华文仿宋" w:hAnsi="华文仿宋" w:cs="华文仿宋"/>
          <w:b w:val="0"/>
          <w:bCs w:val="0"/>
          <w:color w:val="auto"/>
          <w:kern w:val="2"/>
          <w:sz w:val="28"/>
          <w:szCs w:val="28"/>
          <w:lang w:val="en-US" w:eastAsia="zh-CN" w:bidi="ar-SA"/>
        </w:rPr>
        <w:t>小微</w:t>
      </w:r>
      <w:r>
        <w:rPr>
          <w:rFonts w:hint="eastAsia" w:ascii="华文仿宋" w:hAnsi="华文仿宋" w:eastAsia="华文仿宋" w:cs="华文仿宋"/>
          <w:b w:val="0"/>
          <w:bCs w:val="0"/>
          <w:color w:val="auto"/>
          <w:kern w:val="2"/>
          <w:sz w:val="28"/>
          <w:szCs w:val="28"/>
          <w:lang w:val="en-US" w:eastAsia="zh-CN" w:bidi="ar-SA"/>
        </w:rPr>
        <w:t>企业依照《中华人民共和国劳动合同法》订立劳动合同的从业人员</w:t>
      </w:r>
      <w:r>
        <w:rPr>
          <w:rFonts w:hint="eastAsia" w:ascii="华文仿宋" w:hAnsi="华文仿宋" w:cs="华文仿宋"/>
          <w:b w:val="0"/>
          <w:bCs w:val="0"/>
          <w:color w:val="auto"/>
          <w:kern w:val="2"/>
          <w:sz w:val="28"/>
          <w:szCs w:val="28"/>
          <w:lang w:val="en-US" w:eastAsia="zh-CN" w:bidi="ar-SA"/>
        </w:rPr>
        <w:t>，则参与政府采购活动时，享受中小企业扶持政策。</w:t>
      </w:r>
    </w:p>
    <w:p w14:paraId="3F0CFF58">
      <w:pPr>
        <w:spacing w:line="500" w:lineRule="exact"/>
        <w:ind w:firstLine="566" w:firstLineChars="200"/>
        <w:rPr>
          <w:rFonts w:hint="eastAsia" w:ascii="华文仿宋" w:hAnsi="华文仿宋" w:cs="华文仿宋"/>
          <w:color w:val="auto"/>
          <w:lang w:val="en-US" w:eastAsia="zh-CN"/>
        </w:rPr>
      </w:pPr>
      <w:r>
        <w:rPr>
          <w:rFonts w:hint="eastAsia" w:ascii="华文仿宋" w:hAnsi="华文仿宋" w:cs="华文仿宋"/>
          <w:color w:val="auto"/>
          <w:lang w:val="en-US" w:eastAsia="zh-CN"/>
        </w:rPr>
        <w:t xml:space="preserve">在货物采购项目中，供应商提供的货物既有中小企业制造货物，也有大型企业制造货物的，不享受本办法规定的中小企业扶持政策。 </w:t>
      </w:r>
    </w:p>
    <w:p w14:paraId="684AE89C">
      <w:pPr>
        <w:spacing w:line="500" w:lineRule="exact"/>
        <w:ind w:firstLine="566" w:firstLineChars="200"/>
        <w:rPr>
          <w:rFonts w:hint="eastAsia" w:ascii="华文仿宋" w:hAnsi="华文仿宋" w:cs="华文仿宋"/>
          <w:color w:val="auto"/>
          <w:lang w:val="en-US" w:eastAsia="zh-CN"/>
        </w:rPr>
      </w:pPr>
      <w:r>
        <w:rPr>
          <w:rFonts w:hint="eastAsia" w:ascii="华文仿宋" w:hAnsi="华文仿宋" w:cs="华文仿宋"/>
          <w:color w:val="auto"/>
          <w:lang w:val="en-US" w:eastAsia="zh-CN"/>
        </w:rPr>
        <w:t xml:space="preserve">以联合体形式参加政府采购活动，联合体各方均为中小企业的，联合体视同中小企业。其中，联合体各方均为小微企业的，联合体视同小微企业。 </w:t>
      </w:r>
    </w:p>
    <w:p w14:paraId="6E687AC4">
      <w:pPr>
        <w:spacing w:line="500" w:lineRule="exact"/>
        <w:ind w:firstLine="566" w:firstLineChars="200"/>
        <w:rPr>
          <w:rFonts w:hint="eastAsia" w:ascii="仿宋" w:hAnsi="仿宋" w:eastAsia="仿宋" w:cs="仿宋"/>
          <w:color w:val="auto"/>
        </w:rPr>
      </w:pPr>
      <w:r>
        <w:rPr>
          <w:rFonts w:hint="eastAsia" w:ascii="华文仿宋" w:hAnsi="华文仿宋" w:cs="华文仿宋"/>
          <w:color w:val="auto"/>
        </w:rPr>
        <w:t>参加政府采购活动的中小企业应提供《中小企业声明函》原件。</w:t>
      </w:r>
    </w:p>
    <w:p w14:paraId="15A340B9">
      <w:pPr>
        <w:spacing w:line="500" w:lineRule="exact"/>
        <w:ind w:firstLine="566" w:firstLineChars="200"/>
        <w:rPr>
          <w:rFonts w:ascii="华文仿宋" w:hAnsi="华文仿宋" w:cs="华文仿宋"/>
          <w:color w:val="auto"/>
        </w:rPr>
      </w:pPr>
      <w:r>
        <w:rPr>
          <w:rFonts w:hint="eastAsia" w:ascii="仿宋" w:hAnsi="仿宋" w:eastAsia="仿宋" w:cs="仿宋"/>
          <w:color w:val="auto"/>
        </w:rPr>
        <w:t>2</w:t>
      </w:r>
      <w:r>
        <w:rPr>
          <w:rFonts w:hint="eastAsia" w:ascii="华文仿宋" w:hAnsi="华文仿宋" w:cs="华文仿宋"/>
          <w:color w:val="auto"/>
        </w:rPr>
        <w:t>、</w:t>
      </w:r>
      <w:r>
        <w:rPr>
          <w:rFonts w:hint="eastAsia" w:ascii="华文仿宋" w:hAnsi="华文仿宋" w:cs="华文仿宋"/>
          <w:color w:val="auto"/>
          <w:lang w:val="zh-CN"/>
        </w:rPr>
        <w:t>监狱企业应符合《财政部</w:t>
      </w:r>
      <w:r>
        <w:rPr>
          <w:rFonts w:hint="eastAsia" w:ascii="华文仿宋" w:hAnsi="华文仿宋" w:cs="华文仿宋"/>
          <w:color w:val="auto"/>
        </w:rPr>
        <w:t xml:space="preserve"> 司法部关于政府采购支持监狱企业发展有关问题的通知》</w:t>
      </w:r>
      <w:r>
        <w:rPr>
          <w:rFonts w:hint="eastAsia" w:ascii="华文仿宋" w:hAnsi="华文仿宋" w:cs="华文仿宋"/>
          <w:color w:val="auto"/>
          <w:lang w:eastAsia="zh-CN"/>
        </w:rPr>
        <w:t>（</w:t>
      </w:r>
      <w:r>
        <w:rPr>
          <w:rFonts w:hint="eastAsia" w:ascii="华文仿宋" w:hAnsi="华文仿宋" w:cs="华文仿宋"/>
          <w:color w:val="auto"/>
        </w:rPr>
        <w:t>财库〔</w:t>
      </w:r>
      <w:r>
        <w:rPr>
          <w:rFonts w:hint="eastAsia" w:ascii="仿宋" w:hAnsi="仿宋" w:eastAsia="仿宋" w:cs="仿宋"/>
          <w:color w:val="auto"/>
        </w:rPr>
        <w:t>201</w:t>
      </w:r>
      <w:r>
        <w:rPr>
          <w:rFonts w:hint="eastAsia" w:ascii="仿宋" w:hAnsi="仿宋" w:eastAsia="仿宋" w:cs="仿宋"/>
          <w:color w:val="auto"/>
          <w:lang w:val="en-US" w:eastAsia="zh-CN"/>
        </w:rPr>
        <w:t>4</w:t>
      </w:r>
      <w:r>
        <w:rPr>
          <w:rFonts w:hint="eastAsia" w:ascii="华文仿宋" w:hAnsi="华文仿宋" w:cs="华文仿宋"/>
          <w:color w:val="auto"/>
        </w:rPr>
        <w:t>〕</w:t>
      </w:r>
      <w:r>
        <w:rPr>
          <w:rFonts w:hint="eastAsia" w:ascii="仿宋" w:hAnsi="仿宋" w:eastAsia="仿宋" w:cs="仿宋"/>
          <w:color w:val="auto"/>
        </w:rPr>
        <w:t>68</w:t>
      </w:r>
      <w:r>
        <w:rPr>
          <w:rFonts w:hint="eastAsia" w:ascii="华文仿宋" w:hAnsi="华文仿宋" w:cs="华文仿宋"/>
          <w:color w:val="auto"/>
        </w:rPr>
        <w:t>号</w:t>
      </w:r>
      <w:r>
        <w:rPr>
          <w:rFonts w:hint="eastAsia" w:ascii="华文仿宋" w:hAnsi="华文仿宋" w:cs="华文仿宋"/>
          <w:color w:val="auto"/>
          <w:lang w:eastAsia="zh-CN"/>
        </w:rPr>
        <w:t>）</w:t>
      </w:r>
      <w:r>
        <w:rPr>
          <w:rFonts w:hint="eastAsia" w:ascii="华文仿宋" w:hAnsi="华文仿宋" w:cs="华文仿宋"/>
          <w:color w:val="auto"/>
        </w:rPr>
        <w:t>文件规定</w:t>
      </w:r>
      <w:r>
        <w:rPr>
          <w:rFonts w:hint="eastAsia" w:ascii="华文仿宋" w:hAnsi="华文仿宋" w:cs="华文仿宋"/>
          <w:color w:val="auto"/>
          <w:lang w:val="zh-CN"/>
        </w:rPr>
        <w:t>，并提供由省级以上监狱管理局、戒毒管理局(含新疆生产建设兵团)出具的属于监狱企业的证明文件复印件，监狱和戒毒企业</w:t>
      </w:r>
      <w:r>
        <w:rPr>
          <w:rFonts w:hint="eastAsia" w:ascii="华文仿宋" w:hAnsi="华文仿宋" w:cs="华文仿宋"/>
          <w:color w:val="auto"/>
        </w:rPr>
        <w:t>视同小型、微型企业。</w:t>
      </w:r>
    </w:p>
    <w:p w14:paraId="715158FB">
      <w:pPr>
        <w:spacing w:line="500" w:lineRule="exact"/>
        <w:ind w:firstLine="566" w:firstLineChars="200"/>
        <w:rPr>
          <w:rFonts w:ascii="华文仿宋" w:hAnsi="华文仿宋" w:cs="华文仿宋"/>
          <w:color w:val="auto"/>
        </w:rPr>
      </w:pPr>
      <w:r>
        <w:rPr>
          <w:rFonts w:hint="eastAsia" w:ascii="仿宋" w:hAnsi="仿宋" w:eastAsia="仿宋" w:cs="仿宋"/>
          <w:color w:val="auto"/>
        </w:rPr>
        <w:t>3</w:t>
      </w:r>
      <w:r>
        <w:rPr>
          <w:rFonts w:hint="eastAsia" w:ascii="华文仿宋" w:hAnsi="华文仿宋" w:cs="华文仿宋"/>
          <w:color w:val="auto"/>
        </w:rPr>
        <w:t>、根据财政部、民政部、中国残疾人联合会下发的《关于促进残疾人就业政府采购政策的通知》（财库〔</w:t>
      </w:r>
      <w:r>
        <w:rPr>
          <w:rFonts w:hint="eastAsia" w:ascii="仿宋" w:hAnsi="仿宋" w:eastAsia="仿宋" w:cs="仿宋"/>
          <w:color w:val="auto"/>
        </w:rPr>
        <w:t>2017</w:t>
      </w:r>
      <w:r>
        <w:rPr>
          <w:rFonts w:hint="eastAsia" w:ascii="华文仿宋" w:hAnsi="华文仿宋" w:cs="华文仿宋"/>
          <w:color w:val="auto"/>
        </w:rPr>
        <w:t>〕</w:t>
      </w:r>
      <w:r>
        <w:rPr>
          <w:rFonts w:hint="eastAsia" w:ascii="仿宋" w:hAnsi="仿宋" w:eastAsia="仿宋" w:cs="仿宋"/>
          <w:color w:val="auto"/>
        </w:rPr>
        <w:t>141</w:t>
      </w:r>
      <w:r>
        <w:rPr>
          <w:rFonts w:hint="eastAsia" w:ascii="华文仿宋" w:hAnsi="华文仿宋" w:cs="华文仿宋"/>
          <w:color w:val="auto"/>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8E48A66">
      <w:pPr>
        <w:spacing w:line="500" w:lineRule="exact"/>
        <w:ind w:firstLine="566" w:firstLineChars="200"/>
        <w:rPr>
          <w:rFonts w:ascii="华文仿宋" w:hAnsi="华文仿宋" w:cs="华文仿宋"/>
          <w:color w:val="auto"/>
        </w:rPr>
      </w:pPr>
      <w:r>
        <w:rPr>
          <w:rFonts w:hint="eastAsia" w:ascii="华文仿宋" w:hAnsi="华文仿宋" w:cs="华文仿宋"/>
          <w:color w:val="auto"/>
        </w:rPr>
        <w:t>参加政府采购活动的残疾人单位应提供《残疾人福利性单位声明函》原件。</w:t>
      </w:r>
    </w:p>
    <w:p w14:paraId="50AA9083">
      <w:pPr>
        <w:spacing w:line="500" w:lineRule="exact"/>
        <w:ind w:firstLine="566" w:firstLineChars="200"/>
        <w:rPr>
          <w:rFonts w:ascii="华文仿宋" w:hAnsi="华文仿宋" w:cs="华文仿宋"/>
          <w:color w:val="auto"/>
          <w:kern w:val="0"/>
        </w:rPr>
      </w:pPr>
      <w:r>
        <w:rPr>
          <w:rFonts w:hint="eastAsia" w:ascii="仿宋" w:hAnsi="仿宋" w:eastAsia="仿宋" w:cs="仿宋"/>
          <w:color w:val="auto"/>
          <w:kern w:val="0"/>
        </w:rPr>
        <w:t>4</w:t>
      </w:r>
      <w:r>
        <w:rPr>
          <w:rFonts w:hint="eastAsia" w:ascii="华文仿宋" w:hAnsi="华文仿宋" w:cs="华文仿宋"/>
          <w:color w:val="auto"/>
          <w:kern w:val="0"/>
        </w:rPr>
        <w:t>、根据财政部、国家发展改革委《关于印发〈节能产品政府采购实施意见〉的通知》（财库〔</w:t>
      </w:r>
      <w:r>
        <w:rPr>
          <w:rFonts w:hint="eastAsia" w:ascii="仿宋" w:hAnsi="仿宋" w:eastAsia="仿宋" w:cs="仿宋"/>
          <w:color w:val="auto"/>
          <w:kern w:val="0"/>
        </w:rPr>
        <w:t>2004</w:t>
      </w:r>
      <w:r>
        <w:rPr>
          <w:rFonts w:hint="eastAsia" w:ascii="华文仿宋" w:hAnsi="华文仿宋" w:cs="华文仿宋"/>
          <w:color w:val="auto"/>
          <w:kern w:val="0"/>
        </w:rPr>
        <w:t>〕</w:t>
      </w:r>
      <w:r>
        <w:rPr>
          <w:rFonts w:hint="eastAsia" w:ascii="仿宋" w:hAnsi="仿宋" w:eastAsia="仿宋" w:cs="仿宋"/>
          <w:color w:val="auto"/>
          <w:kern w:val="0"/>
        </w:rPr>
        <w:t>185</w:t>
      </w:r>
      <w:r>
        <w:rPr>
          <w:rFonts w:hint="eastAsia" w:ascii="华文仿宋" w:hAnsi="华文仿宋" w:cs="华文仿宋"/>
          <w:color w:val="auto"/>
          <w:kern w:val="0"/>
        </w:rPr>
        <w:t>号）规定“政府采购属于节能产品品目清单的，在技术、服务等指标同等条件下，应当优先采购节能清单所列的节能产品。”</w:t>
      </w:r>
    </w:p>
    <w:p w14:paraId="257B16A1">
      <w:pPr>
        <w:spacing w:line="500" w:lineRule="exact"/>
        <w:ind w:firstLine="566" w:firstLineChars="200"/>
        <w:rPr>
          <w:rFonts w:ascii="华文仿宋" w:hAnsi="华文仿宋" w:cs="华文仿宋"/>
          <w:color w:val="auto"/>
          <w:kern w:val="0"/>
        </w:rPr>
      </w:pPr>
      <w:r>
        <w:rPr>
          <w:rFonts w:hint="eastAsia" w:ascii="仿宋" w:hAnsi="仿宋" w:eastAsia="仿宋" w:cs="仿宋"/>
          <w:color w:val="auto"/>
          <w:kern w:val="0"/>
        </w:rPr>
        <w:t>5</w:t>
      </w:r>
      <w:r>
        <w:rPr>
          <w:rFonts w:hint="eastAsia" w:ascii="华文仿宋" w:hAnsi="华文仿宋" w:cs="华文仿宋"/>
          <w:color w:val="auto"/>
          <w:kern w:val="0"/>
        </w:rPr>
        <w:t>、根据财政部、国家环保总局联合印发《关于环境标志产品政府采购实施的意见》（财库〔</w:t>
      </w:r>
      <w:r>
        <w:rPr>
          <w:rFonts w:hint="eastAsia" w:ascii="仿宋" w:hAnsi="仿宋" w:eastAsia="仿宋" w:cs="仿宋"/>
          <w:color w:val="auto"/>
          <w:kern w:val="0"/>
        </w:rPr>
        <w:t>2006</w:t>
      </w:r>
      <w:r>
        <w:rPr>
          <w:rFonts w:hint="eastAsia" w:ascii="华文仿宋" w:hAnsi="华文仿宋" w:cs="华文仿宋"/>
          <w:color w:val="auto"/>
          <w:kern w:val="0"/>
        </w:rPr>
        <w:t>〕</w:t>
      </w:r>
      <w:r>
        <w:rPr>
          <w:rFonts w:hint="eastAsia" w:ascii="仿宋" w:hAnsi="仿宋" w:eastAsia="仿宋" w:cs="仿宋"/>
          <w:color w:val="auto"/>
          <w:kern w:val="0"/>
        </w:rPr>
        <w:t>90</w:t>
      </w:r>
      <w:r>
        <w:rPr>
          <w:rFonts w:hint="eastAsia" w:ascii="华文仿宋" w:hAnsi="华文仿宋" w:cs="华文仿宋"/>
          <w:color w:val="auto"/>
          <w:kern w:val="0"/>
        </w:rPr>
        <w:t>号）规定“采购人采购的产品属于环境标志产品政府采购清单中品目的，在性能、技术、服务等指标同等条件下，应当优先采购清单中的产品”。</w:t>
      </w:r>
    </w:p>
    <w:p w14:paraId="6BEFA5B1">
      <w:pPr>
        <w:spacing w:line="500" w:lineRule="exact"/>
        <w:ind w:firstLine="566" w:firstLineChars="200"/>
        <w:rPr>
          <w:rFonts w:hint="eastAsia" w:ascii="华文仿宋" w:hAnsi="华文仿宋" w:cs="华文仿宋"/>
          <w:color w:val="auto"/>
          <w:kern w:val="0"/>
        </w:rPr>
      </w:pPr>
      <w:bookmarkStart w:id="98" w:name="_Toc3858_WPSOffice_Level3"/>
      <w:r>
        <w:rPr>
          <w:rFonts w:hint="eastAsia" w:ascii="华文仿宋" w:hAnsi="华文仿宋" w:eastAsia="华文仿宋" w:cs="华文仿宋"/>
          <w:color w:val="auto"/>
          <w:kern w:val="0"/>
        </w:rPr>
        <w:t>6</w:t>
      </w:r>
      <w:r>
        <w:rPr>
          <w:rFonts w:hint="eastAsia" w:ascii="华文仿宋" w:hAnsi="华文仿宋" w:cs="华文仿宋"/>
          <w:color w:val="auto"/>
          <w:kern w:val="0"/>
        </w:rPr>
        <w:t>、</w:t>
      </w:r>
      <w:r>
        <w:rPr>
          <w:rFonts w:hint="eastAsia" w:ascii="华文仿宋" w:hAnsi="华文仿宋" w:cs="华文仿宋"/>
          <w:color w:val="auto"/>
          <w:kern w:val="0"/>
          <w:sz w:val="28"/>
        </w:rPr>
        <w:t>根据国务院办公厅《关于建立政府强制采购节能产品制度的通知》（国办发</w:t>
      </w:r>
      <w:r>
        <w:rPr>
          <w:rFonts w:hint="eastAsia" w:ascii="华文仿宋" w:hAnsi="华文仿宋" w:eastAsia="华文仿宋" w:cs="华文仿宋"/>
          <w:color w:val="auto"/>
          <w:kern w:val="0"/>
          <w:sz w:val="28"/>
        </w:rPr>
        <w:t>〔2007〕51</w:t>
      </w:r>
      <w:r>
        <w:rPr>
          <w:rFonts w:hint="eastAsia" w:ascii="华文仿宋" w:hAnsi="华文仿宋" w:cs="华文仿宋"/>
          <w:color w:val="auto"/>
          <w:kern w:val="0"/>
          <w:sz w:val="28"/>
        </w:rPr>
        <w:t>号）有关要求，采购人需购买的产品属于政府强制采购节能产品范围应当在清单之内采购。节能清单中无对应细化分类且节能清单中的产品确实无法满足工作需要的，允许在节能清单之外采购。</w:t>
      </w:r>
    </w:p>
    <w:p w14:paraId="6AE440D9">
      <w:pPr>
        <w:pStyle w:val="16"/>
        <w:spacing w:line="500" w:lineRule="exact"/>
        <w:ind w:firstLine="566" w:firstLineChars="200"/>
        <w:rPr>
          <w:rFonts w:hint="eastAsia" w:ascii="华文仿宋" w:hAnsi="华文仿宋" w:cs="华文仿宋"/>
          <w:color w:val="auto"/>
          <w:kern w:val="0"/>
          <w:sz w:val="28"/>
        </w:rPr>
      </w:pPr>
      <w:r>
        <w:rPr>
          <w:rFonts w:hint="eastAsia" w:ascii="仿宋" w:hAnsi="仿宋" w:eastAsia="仿宋" w:cs="仿宋"/>
          <w:color w:val="auto"/>
          <w:kern w:val="0"/>
          <w:sz w:val="28"/>
        </w:rPr>
        <w:t>7</w:t>
      </w:r>
      <w:r>
        <w:rPr>
          <w:rFonts w:hint="eastAsia" w:ascii="华文仿宋" w:hAnsi="华文仿宋" w:cs="华文仿宋"/>
          <w:color w:val="auto"/>
          <w:kern w:val="0"/>
          <w:sz w:val="28"/>
        </w:rPr>
        <w:t>、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B361F97">
      <w:pPr>
        <w:spacing w:line="500" w:lineRule="exact"/>
        <w:ind w:firstLine="566" w:firstLineChars="200"/>
        <w:rPr>
          <w:rFonts w:ascii="华文仿宋" w:hAnsi="华文仿宋" w:cs="华文仿宋"/>
          <w:b/>
          <w:strike w:val="0"/>
          <w:dstrike w:val="0"/>
          <w:color w:val="auto"/>
          <w:kern w:val="0"/>
        </w:rPr>
      </w:pPr>
      <w:r>
        <w:rPr>
          <w:rFonts w:hint="eastAsia" w:ascii="华文仿宋" w:hAnsi="华文仿宋" w:cs="华文仿宋"/>
          <w:b/>
          <w:strike w:val="0"/>
          <w:dstrike w:val="0"/>
          <w:color w:val="auto"/>
          <w:kern w:val="0"/>
        </w:rPr>
        <w:t>（六）关于产品和服务</w:t>
      </w:r>
      <w:bookmarkEnd w:id="98"/>
    </w:p>
    <w:p w14:paraId="741D1760">
      <w:pPr>
        <w:spacing w:line="500" w:lineRule="exact"/>
        <w:ind w:firstLine="566" w:firstLineChars="200"/>
        <w:rPr>
          <w:rFonts w:ascii="华文仿宋" w:hAnsi="华文仿宋" w:cs="华文仿宋"/>
          <w:bCs/>
          <w:strike w:val="0"/>
          <w:dstrike w:val="0"/>
          <w:color w:val="auto"/>
        </w:rPr>
      </w:pPr>
      <w:r>
        <w:rPr>
          <w:rFonts w:hint="eastAsia" w:ascii="仿宋" w:hAnsi="仿宋" w:eastAsia="仿宋" w:cs="仿宋"/>
          <w:bCs/>
          <w:strike w:val="0"/>
          <w:dstrike w:val="0"/>
          <w:color w:val="auto"/>
        </w:rPr>
        <w:t>1</w:t>
      </w:r>
      <w:r>
        <w:rPr>
          <w:rFonts w:hint="eastAsia" w:ascii="华文仿宋" w:hAnsi="华文仿宋" w:cs="华文仿宋"/>
          <w:bCs/>
          <w:strike w:val="0"/>
          <w:dstrike w:val="0"/>
          <w:color w:val="auto"/>
        </w:rPr>
        <w:t>、所有产品必须具有在中国境内法定许可的生产及销售资格，且为全新原厂制造，其核心关键部分为近</w:t>
      </w:r>
      <w:r>
        <w:rPr>
          <w:rFonts w:hint="eastAsia" w:ascii="仿宋" w:hAnsi="仿宋" w:eastAsia="仿宋" w:cs="仿宋"/>
          <w:bCs/>
          <w:strike w:val="0"/>
          <w:dstrike w:val="0"/>
          <w:color w:val="auto"/>
        </w:rPr>
        <w:t>10</w:t>
      </w:r>
      <w:r>
        <w:rPr>
          <w:rFonts w:hint="eastAsia" w:ascii="华文仿宋" w:hAnsi="华文仿宋" w:cs="华文仿宋"/>
          <w:bCs/>
          <w:strike w:val="0"/>
          <w:dstrike w:val="0"/>
          <w:color w:val="auto"/>
        </w:rPr>
        <w:t>个月内所生产的非淘汰类产品；属于《中华人民共和国实施强制性产品认证的产品目录》的产品，就不能提供超出此目录范畴外的替代品，此外，还须同时具备国家认监委颁布《中国强制认证》（CCC认证）。</w:t>
      </w:r>
    </w:p>
    <w:p w14:paraId="03A459E2">
      <w:pPr>
        <w:spacing w:line="500" w:lineRule="exact"/>
        <w:ind w:firstLine="566" w:firstLineChars="200"/>
        <w:rPr>
          <w:rFonts w:ascii="华文仿宋" w:hAnsi="华文仿宋" w:cs="华文仿宋"/>
          <w:bCs/>
          <w:strike w:val="0"/>
          <w:dstrike w:val="0"/>
          <w:color w:val="auto"/>
        </w:rPr>
      </w:pPr>
      <w:r>
        <w:rPr>
          <w:rFonts w:hint="eastAsia" w:ascii="仿宋" w:hAnsi="仿宋" w:eastAsia="仿宋" w:cs="仿宋"/>
          <w:bCs/>
          <w:strike w:val="0"/>
          <w:dstrike w:val="0"/>
          <w:color w:val="auto"/>
        </w:rPr>
        <w:t>2</w:t>
      </w:r>
      <w:r>
        <w:rPr>
          <w:rFonts w:hint="eastAsia" w:ascii="华文仿宋" w:hAnsi="华文仿宋" w:cs="华文仿宋"/>
          <w:bCs/>
          <w:strike w:val="0"/>
          <w:dstrike w:val="0"/>
          <w:color w:val="auto"/>
        </w:rPr>
        <w:t>、采购的产品属于政府采购节能产品、环境标志产品品目清单范围的，投标人需提供国家确定的认证机构出具的、处于有效期之内的节能产品、环境标志产品认证证书，对获得证书的产品实施政府优先采购或强制采购。</w:t>
      </w:r>
    </w:p>
    <w:p w14:paraId="257C0740">
      <w:pPr>
        <w:spacing w:line="500" w:lineRule="exact"/>
        <w:ind w:firstLine="566" w:firstLineChars="200"/>
        <w:rPr>
          <w:rFonts w:ascii="华文仿宋" w:hAnsi="华文仿宋" w:cs="华文仿宋"/>
          <w:bCs/>
          <w:strike w:val="0"/>
          <w:dstrike w:val="0"/>
          <w:color w:val="auto"/>
        </w:rPr>
      </w:pPr>
      <w:r>
        <w:rPr>
          <w:rFonts w:hint="eastAsia" w:ascii="仿宋" w:hAnsi="仿宋" w:eastAsia="仿宋" w:cs="仿宋"/>
          <w:bCs/>
          <w:strike w:val="0"/>
          <w:dstrike w:val="0"/>
          <w:color w:val="auto"/>
        </w:rPr>
        <w:t>3</w:t>
      </w:r>
      <w:r>
        <w:rPr>
          <w:rFonts w:hint="eastAsia" w:ascii="华文仿宋" w:hAnsi="华文仿宋" w:cs="华文仿宋"/>
          <w:bCs/>
          <w:strike w:val="0"/>
          <w:dstrike w:val="0"/>
          <w:color w:val="auto"/>
        </w:rPr>
        <w:t>、主机设备要有标准配置清单，使用操作及安全须知等重要资料应附有中文说明；国内制造的产品必须同时具备出厂合格证和相关检测报告。购置的计算机设备必须配有正版合法的经委托人认可的操作系统和软件。</w:t>
      </w:r>
    </w:p>
    <w:p w14:paraId="63266616">
      <w:pPr>
        <w:spacing w:line="500" w:lineRule="exact"/>
        <w:ind w:firstLine="566" w:firstLineChars="200"/>
        <w:rPr>
          <w:rFonts w:ascii="华文仿宋" w:hAnsi="华文仿宋" w:cs="华文仿宋"/>
          <w:bCs/>
          <w:strike w:val="0"/>
          <w:dstrike w:val="0"/>
          <w:color w:val="auto"/>
        </w:rPr>
      </w:pPr>
      <w:r>
        <w:rPr>
          <w:rFonts w:hint="eastAsia" w:ascii="仿宋" w:hAnsi="仿宋" w:eastAsia="仿宋" w:cs="仿宋"/>
          <w:bCs/>
          <w:strike w:val="0"/>
          <w:dstrike w:val="0"/>
          <w:color w:val="auto"/>
        </w:rPr>
        <w:t>4</w:t>
      </w:r>
      <w:r>
        <w:rPr>
          <w:rFonts w:hint="eastAsia" w:ascii="华文仿宋" w:hAnsi="华文仿宋" w:cs="华文仿宋"/>
          <w:bCs/>
          <w:strike w:val="0"/>
          <w:dstrike w:val="0"/>
          <w:color w:val="auto"/>
        </w:rPr>
        <w:t>、信息安全产品应当获得国家信息安全认证，并可提供由中国信息安全认证中心按照国家标准认证颁发的有效认证证书。</w:t>
      </w:r>
    </w:p>
    <w:p w14:paraId="6CC18DD4">
      <w:pPr>
        <w:spacing w:line="500" w:lineRule="exact"/>
        <w:ind w:firstLine="566" w:firstLineChars="200"/>
        <w:rPr>
          <w:rFonts w:ascii="华文仿宋" w:hAnsi="华文仿宋" w:cs="华文仿宋"/>
          <w:bCs/>
          <w:strike w:val="0"/>
          <w:dstrike w:val="0"/>
          <w:color w:val="auto"/>
        </w:rPr>
      </w:pPr>
      <w:r>
        <w:rPr>
          <w:rFonts w:hint="eastAsia" w:ascii="仿宋" w:hAnsi="仿宋" w:eastAsia="仿宋" w:cs="仿宋"/>
          <w:bCs/>
          <w:strike w:val="0"/>
          <w:dstrike w:val="0"/>
          <w:color w:val="auto"/>
        </w:rPr>
        <w:t>5</w:t>
      </w:r>
      <w:r>
        <w:rPr>
          <w:rFonts w:hint="eastAsia" w:ascii="华文仿宋" w:hAnsi="华文仿宋" w:cs="华文仿宋"/>
          <w:bCs/>
          <w:strike w:val="0"/>
          <w:dstrike w:val="0"/>
          <w:color w:val="auto"/>
        </w:rPr>
        <w:t>、根据《政府采购进口产品管理办法》（财库〔</w:t>
      </w:r>
      <w:r>
        <w:rPr>
          <w:rFonts w:hint="eastAsia" w:ascii="仿宋" w:hAnsi="仿宋" w:eastAsia="仿宋" w:cs="仿宋"/>
          <w:bCs/>
          <w:strike w:val="0"/>
          <w:dstrike w:val="0"/>
          <w:color w:val="auto"/>
        </w:rPr>
        <w:t>2007</w:t>
      </w:r>
      <w:r>
        <w:rPr>
          <w:rFonts w:hint="eastAsia" w:ascii="华文仿宋" w:hAnsi="华文仿宋" w:cs="华文仿宋"/>
          <w:bCs/>
          <w:strike w:val="0"/>
          <w:dstrike w:val="0"/>
          <w:color w:val="auto"/>
        </w:rPr>
        <w:t>〕</w:t>
      </w:r>
      <w:r>
        <w:rPr>
          <w:rFonts w:hint="eastAsia" w:ascii="仿宋" w:hAnsi="仿宋" w:eastAsia="仿宋" w:cs="仿宋"/>
          <w:bCs/>
          <w:strike w:val="0"/>
          <w:dstrike w:val="0"/>
          <w:color w:val="auto"/>
        </w:rPr>
        <w:t>119</w:t>
      </w:r>
      <w:r>
        <w:rPr>
          <w:rFonts w:hint="eastAsia" w:ascii="华文仿宋" w:hAnsi="华文仿宋" w:cs="华文仿宋"/>
          <w:bCs/>
          <w:strike w:val="0"/>
          <w:dstrike w:val="0"/>
          <w:color w:val="auto"/>
        </w:rPr>
        <w:t>号）与《关于政府采购进口产品管理有关问题的通知》（财办库〔200</w:t>
      </w:r>
      <w:r>
        <w:rPr>
          <w:rFonts w:ascii="华文仿宋" w:hAnsi="华文仿宋" w:cs="华文仿宋"/>
          <w:bCs/>
          <w:strike w:val="0"/>
          <w:dstrike w:val="0"/>
          <w:color w:val="auto"/>
        </w:rPr>
        <w:t>8</w:t>
      </w:r>
      <w:r>
        <w:rPr>
          <w:rFonts w:hint="eastAsia" w:ascii="华文仿宋" w:hAnsi="华文仿宋" w:cs="华文仿宋"/>
          <w:bCs/>
          <w:strike w:val="0"/>
          <w:dstrike w:val="0"/>
          <w:color w:val="auto"/>
        </w:rPr>
        <w:t>〕</w:t>
      </w:r>
      <w:r>
        <w:rPr>
          <w:rFonts w:hint="eastAsia" w:ascii="仿宋" w:hAnsi="仿宋" w:eastAsia="仿宋" w:cs="仿宋"/>
          <w:bCs/>
          <w:strike w:val="0"/>
          <w:dstrike w:val="0"/>
          <w:color w:val="auto"/>
        </w:rPr>
        <w:t>248</w:t>
      </w:r>
      <w:r>
        <w:rPr>
          <w:rFonts w:hint="eastAsia" w:ascii="华文仿宋" w:hAnsi="华文仿宋" w:cs="华文仿宋"/>
          <w:bCs/>
          <w:strike w:val="0"/>
          <w:dstrike w:val="0"/>
          <w:color w:val="auto"/>
        </w:rPr>
        <w:t>号）的有关规定，未经核准同意，投标人投标时必须提供本国产品，投标人以进口产品参与投标的，将作无效投标处理。</w:t>
      </w:r>
    </w:p>
    <w:p w14:paraId="17338AC5">
      <w:pPr>
        <w:spacing w:line="500" w:lineRule="exact"/>
        <w:ind w:firstLine="566" w:firstLineChars="200"/>
        <w:rPr>
          <w:rFonts w:ascii="华文仿宋" w:hAnsi="华文仿宋" w:cs="华文仿宋"/>
          <w:bCs/>
          <w:strike w:val="0"/>
          <w:dstrike w:val="0"/>
          <w:color w:val="auto"/>
        </w:rPr>
      </w:pPr>
      <w:r>
        <w:rPr>
          <w:rFonts w:hint="eastAsia" w:ascii="仿宋" w:hAnsi="仿宋" w:eastAsia="仿宋" w:cs="仿宋"/>
          <w:bCs/>
          <w:strike w:val="0"/>
          <w:dstrike w:val="0"/>
          <w:color w:val="auto"/>
        </w:rPr>
        <w:t>6</w:t>
      </w:r>
      <w:r>
        <w:rPr>
          <w:rFonts w:hint="eastAsia" w:ascii="华文仿宋" w:hAnsi="华文仿宋" w:cs="华文仿宋"/>
          <w:bCs/>
          <w:strike w:val="0"/>
          <w:dstrike w:val="0"/>
          <w:color w:val="auto"/>
        </w:rPr>
        <w:t>、如采购文件中已说明，经政府采购管理部门审核同意，允许部分或全部产品采购进口产品，投标人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14:paraId="40B4298E">
      <w:pPr>
        <w:spacing w:line="500" w:lineRule="exact"/>
        <w:ind w:firstLine="566" w:firstLineChars="200"/>
        <w:rPr>
          <w:rFonts w:ascii="华文仿宋" w:hAnsi="华文仿宋" w:cs="华文仿宋"/>
          <w:b/>
          <w:strike w:val="0"/>
          <w:dstrike w:val="0"/>
          <w:color w:val="auto"/>
        </w:rPr>
      </w:pPr>
      <w:bookmarkStart w:id="99" w:name="_Toc11745_WPSOffice_Level3"/>
      <w:r>
        <w:rPr>
          <w:rFonts w:hint="eastAsia" w:ascii="华文仿宋" w:hAnsi="华文仿宋" w:cs="华文仿宋"/>
          <w:b/>
          <w:strike w:val="0"/>
          <w:dstrike w:val="0"/>
          <w:color w:val="auto"/>
        </w:rPr>
        <w:t>（七）关于同一品牌产品的处理</w:t>
      </w:r>
    </w:p>
    <w:p w14:paraId="2A322811">
      <w:pPr>
        <w:spacing w:line="500" w:lineRule="exact"/>
        <w:ind w:firstLine="566" w:firstLineChars="200"/>
        <w:rPr>
          <w:rFonts w:hint="eastAsia" w:ascii="仿宋" w:hAnsi="仿宋" w:eastAsia="仿宋" w:cs="仿宋"/>
          <w:bCs/>
        </w:rPr>
      </w:pPr>
      <w:r>
        <w:rPr>
          <w:rFonts w:hint="eastAsia" w:ascii="仿宋" w:hAnsi="仿宋" w:eastAsia="仿宋" w:cs="仿宋"/>
          <w:bCs/>
        </w:rPr>
        <w:t>1、单一产品采购项目中，提供相同品牌的产品的不同供应商参加同一合同项下投标的，提供相同品牌产品且通过资格审查、符合性审查的不同供应商，按一家供应商计算，评审后得分最高的同品牌供应商获得</w:t>
      </w:r>
      <w:r>
        <w:rPr>
          <w:rFonts w:hint="eastAsia" w:ascii="仿宋" w:hAnsi="仿宋" w:eastAsia="仿宋" w:cs="仿宋"/>
          <w:bCs/>
          <w:lang w:val="en-US" w:eastAsia="zh-CN"/>
        </w:rPr>
        <w:t>成交</w:t>
      </w:r>
      <w:r>
        <w:rPr>
          <w:rFonts w:hint="eastAsia" w:ascii="仿宋" w:hAnsi="仿宋" w:eastAsia="仿宋" w:cs="仿宋"/>
          <w:bCs/>
        </w:rPr>
        <w:t>供应商推荐资格；评审得分相同的，由</w:t>
      </w:r>
      <w:r>
        <w:rPr>
          <w:rFonts w:hint="eastAsia" w:ascii="仿宋" w:hAnsi="仿宋" w:eastAsia="仿宋" w:cs="仿宋"/>
          <w:bCs/>
          <w:lang w:eastAsia="zh-CN"/>
        </w:rPr>
        <w:t>磋商小组</w:t>
      </w:r>
      <w:r>
        <w:rPr>
          <w:rFonts w:hint="eastAsia" w:ascii="仿宋" w:hAnsi="仿宋" w:eastAsia="仿宋" w:cs="仿宋"/>
          <w:bCs/>
        </w:rPr>
        <w:t>按照投标报价最低的方式确定一个获得</w:t>
      </w:r>
      <w:r>
        <w:rPr>
          <w:rFonts w:hint="eastAsia" w:ascii="仿宋" w:hAnsi="仿宋" w:eastAsia="仿宋" w:cs="仿宋"/>
          <w:bCs/>
          <w:lang w:eastAsia="zh-CN"/>
        </w:rPr>
        <w:t>成交供应商</w:t>
      </w:r>
      <w:r>
        <w:rPr>
          <w:rFonts w:hint="eastAsia" w:ascii="仿宋" w:hAnsi="仿宋" w:eastAsia="仿宋" w:cs="仿宋"/>
          <w:bCs/>
        </w:rPr>
        <w:t>推荐资格，其他同品牌供应商不作为</w:t>
      </w:r>
      <w:r>
        <w:rPr>
          <w:rFonts w:hint="eastAsia" w:ascii="仿宋" w:hAnsi="仿宋" w:eastAsia="仿宋" w:cs="仿宋"/>
          <w:bCs/>
          <w:lang w:val="en-US" w:eastAsia="zh-CN"/>
        </w:rPr>
        <w:t>成交</w:t>
      </w:r>
      <w:r>
        <w:rPr>
          <w:rFonts w:hint="eastAsia" w:ascii="仿宋" w:hAnsi="仿宋" w:eastAsia="仿宋" w:cs="仿宋"/>
          <w:bCs/>
        </w:rPr>
        <w:t>候选人。</w:t>
      </w:r>
    </w:p>
    <w:p w14:paraId="2DFAF84B">
      <w:pPr>
        <w:spacing w:line="500" w:lineRule="exact"/>
        <w:ind w:firstLine="566" w:firstLineChars="200"/>
        <w:rPr>
          <w:rFonts w:hint="eastAsia" w:ascii="仿宋" w:hAnsi="仿宋" w:eastAsia="仿宋" w:cs="仿宋"/>
          <w:bCs/>
        </w:rPr>
      </w:pPr>
      <w:r>
        <w:rPr>
          <w:rFonts w:hint="eastAsia" w:ascii="仿宋" w:hAnsi="仿宋" w:eastAsia="仿宋" w:cs="仿宋"/>
          <w:bCs/>
        </w:rPr>
        <w:t>2、非单一产品采购项目，采购人将根据采购项目技术构成、产品价格比重等因素确定核心产品（可能不止一种），并在</w:t>
      </w:r>
      <w:r>
        <w:rPr>
          <w:rFonts w:hint="eastAsia" w:ascii="仿宋" w:hAnsi="仿宋" w:eastAsia="仿宋" w:cs="仿宋"/>
          <w:bCs/>
          <w:lang w:val="en-US" w:eastAsia="zh-CN"/>
        </w:rPr>
        <w:t>磋商文件</w:t>
      </w:r>
      <w:r>
        <w:rPr>
          <w:rFonts w:hint="eastAsia" w:ascii="仿宋" w:hAnsi="仿宋" w:eastAsia="仿宋" w:cs="仿宋"/>
          <w:bCs/>
        </w:rPr>
        <w:t>中载明。提供相同品牌的</w:t>
      </w:r>
      <w:r>
        <w:rPr>
          <w:rFonts w:hint="eastAsia" w:ascii="仿宋" w:hAnsi="仿宋" w:eastAsia="仿宋" w:cs="仿宋"/>
          <w:bCs/>
          <w:lang w:val="en-US" w:eastAsia="zh-CN"/>
        </w:rPr>
        <w:t>核心</w:t>
      </w:r>
      <w:r>
        <w:rPr>
          <w:rFonts w:hint="eastAsia" w:ascii="仿宋" w:hAnsi="仿宋" w:eastAsia="仿宋" w:cs="仿宋"/>
          <w:bCs/>
        </w:rPr>
        <w:t>产品且通过资格审查、符合性审查的不同供应商参加同一合同项下投标的，按一家供应商计算，评审后得分最高的同品牌供应商获得</w:t>
      </w:r>
      <w:r>
        <w:rPr>
          <w:rFonts w:hint="eastAsia" w:ascii="仿宋" w:hAnsi="仿宋" w:eastAsia="仿宋" w:cs="仿宋"/>
          <w:bCs/>
          <w:lang w:eastAsia="zh-CN"/>
        </w:rPr>
        <w:t>成交供应商</w:t>
      </w:r>
      <w:r>
        <w:rPr>
          <w:rFonts w:hint="eastAsia" w:ascii="仿宋" w:hAnsi="仿宋" w:eastAsia="仿宋" w:cs="仿宋"/>
          <w:bCs/>
        </w:rPr>
        <w:t>推荐资格；评审得分相同的，由</w:t>
      </w:r>
      <w:r>
        <w:rPr>
          <w:rFonts w:hint="eastAsia" w:ascii="仿宋" w:hAnsi="仿宋" w:eastAsia="仿宋" w:cs="仿宋"/>
          <w:bCs/>
          <w:lang w:eastAsia="zh-CN"/>
        </w:rPr>
        <w:t>磋商小组</w:t>
      </w:r>
      <w:r>
        <w:rPr>
          <w:rFonts w:hint="eastAsia" w:ascii="仿宋" w:hAnsi="仿宋" w:eastAsia="仿宋" w:cs="仿宋"/>
          <w:bCs/>
        </w:rPr>
        <w:t>按照投标报价最低的方式确定一个获得</w:t>
      </w:r>
      <w:r>
        <w:rPr>
          <w:rFonts w:hint="eastAsia" w:ascii="仿宋" w:hAnsi="仿宋" w:eastAsia="仿宋" w:cs="仿宋"/>
          <w:bCs/>
          <w:lang w:eastAsia="zh-CN"/>
        </w:rPr>
        <w:t>成交供应商</w:t>
      </w:r>
      <w:r>
        <w:rPr>
          <w:rFonts w:hint="eastAsia" w:ascii="仿宋" w:hAnsi="仿宋" w:eastAsia="仿宋" w:cs="仿宋"/>
          <w:bCs/>
        </w:rPr>
        <w:t>推荐资格，其他同品牌供应商不作为中标候选人。</w:t>
      </w:r>
    </w:p>
    <w:p w14:paraId="6EE7C23B">
      <w:pPr>
        <w:spacing w:line="500" w:lineRule="exact"/>
        <w:ind w:firstLine="566" w:firstLineChars="200"/>
        <w:rPr>
          <w:rFonts w:hint="eastAsia" w:ascii="仿宋" w:hAnsi="仿宋" w:eastAsia="仿宋" w:cs="仿宋"/>
          <w:bCs/>
        </w:rPr>
      </w:pPr>
      <w:r>
        <w:rPr>
          <w:rFonts w:hint="eastAsia" w:ascii="仿宋" w:hAnsi="仿宋" w:eastAsia="仿宋" w:cs="仿宋"/>
          <w:bCs/>
        </w:rPr>
        <w:t>3</w:t>
      </w:r>
      <w:r>
        <w:rPr>
          <w:rFonts w:hint="eastAsia" w:ascii="仿宋" w:hAnsi="仿宋" w:eastAsia="仿宋" w:cs="仿宋"/>
          <w:bCs/>
          <w:lang w:eastAsia="zh-CN"/>
        </w:rPr>
        <w:t>、</w:t>
      </w:r>
      <w:r>
        <w:rPr>
          <w:rFonts w:hint="eastAsia" w:ascii="仿宋" w:hAnsi="仿宋" w:eastAsia="仿宋" w:cs="仿宋"/>
          <w:bCs/>
        </w:rPr>
        <w:t>核心产品为两个以上时，多家供应商提供的核心产品有部分采用或全部采用相同品牌的，按一家供应商计算。</w:t>
      </w:r>
    </w:p>
    <w:p w14:paraId="2FCCB781">
      <w:pPr>
        <w:spacing w:line="500" w:lineRule="exact"/>
        <w:ind w:firstLine="566" w:firstLineChars="200"/>
        <w:rPr>
          <w:rFonts w:ascii="华文仿宋" w:hAnsi="华文仿宋" w:cs="华文仿宋"/>
          <w:b/>
          <w:strike w:val="0"/>
          <w:dstrike w:val="0"/>
          <w:color w:val="auto"/>
        </w:rPr>
      </w:pPr>
      <w:r>
        <w:rPr>
          <w:rFonts w:hint="eastAsia" w:ascii="华文仿宋" w:hAnsi="华文仿宋" w:cs="华文仿宋"/>
          <w:b/>
          <w:strike w:val="0"/>
          <w:dstrike w:val="0"/>
          <w:color w:val="auto"/>
        </w:rPr>
        <w:t>（八）知识产权与保密事项</w:t>
      </w:r>
      <w:bookmarkEnd w:id="99"/>
    </w:p>
    <w:p w14:paraId="4FAC0CBA">
      <w:pPr>
        <w:spacing w:line="500" w:lineRule="exact"/>
        <w:ind w:firstLine="566" w:firstLineChars="200"/>
        <w:rPr>
          <w:rFonts w:ascii="华文仿宋" w:hAnsi="华文仿宋" w:cs="华文仿宋"/>
          <w:bCs/>
          <w:strike w:val="0"/>
          <w:dstrike w:val="0"/>
          <w:color w:val="auto"/>
        </w:rPr>
      </w:pPr>
      <w:r>
        <w:rPr>
          <w:rFonts w:hint="eastAsia" w:ascii="华文仿宋" w:hAnsi="华文仿宋" w:cs="华文仿宋"/>
          <w:bCs/>
          <w:strike w:val="0"/>
          <w:dstrike w:val="0"/>
          <w:color w:val="auto"/>
        </w:rPr>
        <w:t>1、所有涉及知识产权的产品及设计，供应商必须确保委托人、采购人拥有其合法的、不受限制的无偿使用权，并免受任何侵权诉讼或索偿，否则，由此产生的一切经济损失和法律责任由供应商承担。</w:t>
      </w:r>
    </w:p>
    <w:p w14:paraId="5415A100">
      <w:pPr>
        <w:spacing w:line="500" w:lineRule="exact"/>
        <w:ind w:firstLine="566" w:firstLineChars="200"/>
        <w:rPr>
          <w:rFonts w:ascii="华文仿宋" w:hAnsi="华文仿宋" w:cs="华文仿宋"/>
          <w:bCs/>
          <w:strike w:val="0"/>
          <w:dstrike w:val="0"/>
          <w:color w:val="auto"/>
        </w:rPr>
      </w:pPr>
      <w:r>
        <w:rPr>
          <w:rFonts w:hint="eastAsia"/>
          <w:bCs/>
          <w:strike w:val="0"/>
          <w:dstrike w:val="0"/>
          <w:color w:val="auto"/>
        </w:rPr>
        <w:t>2、由采购人向供应商提供的用户需求书、图纸、样品、模型、模件和所有资料，供应商获得后，应对其保密。除非采购人同意，供应商不得向第三方透露或将其用于本次投标以外的任何用途。响应文件开启后，若采购人有要求，供应商人须归还采购人认为需保密的文件和资料，并销毁所有相应的备份文件及资料。</w:t>
      </w:r>
    </w:p>
    <w:p w14:paraId="0553BC78">
      <w:pPr>
        <w:spacing w:line="500" w:lineRule="exact"/>
        <w:ind w:firstLine="566" w:firstLineChars="200"/>
        <w:rPr>
          <w:rFonts w:ascii="华文仿宋" w:hAnsi="华文仿宋" w:cs="华文仿宋"/>
          <w:color w:val="auto"/>
        </w:rPr>
      </w:pPr>
      <w:bookmarkStart w:id="100" w:name="_Toc17240_WPSOffice_Level3"/>
      <w:r>
        <w:rPr>
          <w:rFonts w:hint="eastAsia" w:ascii="华文仿宋" w:hAnsi="华文仿宋" w:cs="华文仿宋"/>
          <w:b/>
          <w:color w:val="auto"/>
        </w:rPr>
        <w:t>（九）供应商的投标费用自理</w:t>
      </w:r>
      <w:bookmarkEnd w:id="100"/>
    </w:p>
    <w:p w14:paraId="79E3CD00">
      <w:pPr>
        <w:pStyle w:val="5"/>
        <w:spacing w:line="500" w:lineRule="exact"/>
        <w:ind w:firstLine="566" w:firstLineChars="200"/>
        <w:rPr>
          <w:rFonts w:ascii="华文仿宋" w:hAnsi="华文仿宋" w:cs="华文仿宋"/>
          <w:color w:val="auto"/>
          <w:sz w:val="28"/>
          <w:szCs w:val="28"/>
        </w:rPr>
      </w:pPr>
      <w:bookmarkStart w:id="101" w:name="_Toc8798_WPSOffice_Level2"/>
      <w:bookmarkStart w:id="102" w:name="_Toc29639"/>
      <w:bookmarkStart w:id="103" w:name="_Toc16056"/>
      <w:bookmarkStart w:id="104" w:name="_Toc17868_WPSOffice_Level2"/>
      <w:bookmarkStart w:id="105" w:name="_Toc10768_WPSOffice_Level2"/>
      <w:bookmarkStart w:id="106" w:name="_Toc24491"/>
      <w:r>
        <w:rPr>
          <w:rFonts w:hint="eastAsia" w:ascii="华文仿宋" w:hAnsi="华文仿宋" w:cs="华文仿宋"/>
          <w:color w:val="auto"/>
          <w:sz w:val="28"/>
          <w:szCs w:val="28"/>
        </w:rPr>
        <w:t>三、磋商文件</w:t>
      </w:r>
      <w:bookmarkEnd w:id="101"/>
      <w:bookmarkEnd w:id="102"/>
      <w:bookmarkEnd w:id="103"/>
      <w:bookmarkEnd w:id="104"/>
      <w:bookmarkEnd w:id="105"/>
      <w:bookmarkEnd w:id="106"/>
    </w:p>
    <w:p w14:paraId="4DAD3125">
      <w:pPr>
        <w:spacing w:line="500" w:lineRule="exact"/>
        <w:ind w:firstLine="566" w:firstLineChars="200"/>
        <w:rPr>
          <w:rFonts w:ascii="华文仿宋" w:hAnsi="华文仿宋" w:cs="华文仿宋"/>
          <w:b/>
          <w:color w:val="auto"/>
        </w:rPr>
      </w:pPr>
      <w:bookmarkStart w:id="107" w:name="_Toc20873_WPSOffice_Level3"/>
      <w:r>
        <w:rPr>
          <w:rFonts w:hint="eastAsia" w:ascii="华文仿宋" w:hAnsi="华文仿宋" w:cs="华文仿宋"/>
          <w:b/>
          <w:color w:val="auto"/>
        </w:rPr>
        <w:t>（一）磋商文件包括下列内容</w:t>
      </w:r>
      <w:bookmarkEnd w:id="107"/>
    </w:p>
    <w:p w14:paraId="415E7630">
      <w:pPr>
        <w:spacing w:line="500" w:lineRule="exact"/>
        <w:ind w:firstLine="566" w:firstLineChars="200"/>
        <w:rPr>
          <w:rFonts w:ascii="华文仿宋" w:hAnsi="华文仿宋" w:cs="华文仿宋"/>
          <w:color w:val="auto"/>
        </w:rPr>
      </w:pPr>
      <w:r>
        <w:rPr>
          <w:rFonts w:hint="eastAsia" w:ascii="华文仿宋" w:hAnsi="华文仿宋" w:cs="华文仿宋"/>
          <w:color w:val="auto"/>
        </w:rPr>
        <w:t>第一章　磋商邀请函</w:t>
      </w:r>
    </w:p>
    <w:p w14:paraId="75BD5F30">
      <w:pPr>
        <w:spacing w:line="500" w:lineRule="exact"/>
        <w:ind w:firstLine="566" w:firstLineChars="200"/>
        <w:rPr>
          <w:rFonts w:ascii="华文仿宋" w:hAnsi="华文仿宋" w:cs="华文仿宋"/>
          <w:color w:val="auto"/>
        </w:rPr>
      </w:pPr>
      <w:r>
        <w:rPr>
          <w:rFonts w:hint="eastAsia" w:ascii="华文仿宋" w:hAnsi="华文仿宋" w:cs="华文仿宋"/>
          <w:color w:val="auto"/>
        </w:rPr>
        <w:t>第二章　供应商须知</w:t>
      </w:r>
    </w:p>
    <w:p w14:paraId="23B5FAA1">
      <w:pPr>
        <w:spacing w:line="500" w:lineRule="exact"/>
        <w:ind w:firstLine="566" w:firstLineChars="200"/>
        <w:rPr>
          <w:rFonts w:ascii="华文仿宋" w:hAnsi="华文仿宋" w:cs="华文仿宋"/>
          <w:bCs/>
          <w:color w:val="auto"/>
        </w:rPr>
      </w:pPr>
      <w:bookmarkStart w:id="108" w:name="_Toc20041_WPSOffice_Level3"/>
      <w:r>
        <w:rPr>
          <w:rFonts w:hint="eastAsia" w:ascii="华文仿宋" w:hAnsi="华文仿宋" w:cs="华文仿宋"/>
          <w:bCs/>
          <w:color w:val="auto"/>
        </w:rPr>
        <w:t>第三章　磋商内容及采购要求</w:t>
      </w:r>
    </w:p>
    <w:p w14:paraId="1CCCF87C">
      <w:pPr>
        <w:spacing w:line="500" w:lineRule="exact"/>
        <w:ind w:firstLine="566" w:firstLineChars="200"/>
        <w:rPr>
          <w:rFonts w:ascii="华文仿宋" w:hAnsi="华文仿宋" w:cs="华文仿宋"/>
          <w:bCs/>
          <w:color w:val="auto"/>
        </w:rPr>
      </w:pPr>
      <w:r>
        <w:rPr>
          <w:rFonts w:hint="eastAsia" w:ascii="华文仿宋" w:hAnsi="华文仿宋" w:cs="华文仿宋"/>
          <w:bCs/>
          <w:color w:val="auto"/>
        </w:rPr>
        <w:t>第四章　合同基本条款</w:t>
      </w:r>
    </w:p>
    <w:p w14:paraId="75919E0D">
      <w:pPr>
        <w:spacing w:line="500" w:lineRule="exact"/>
        <w:ind w:firstLine="566" w:firstLineChars="200"/>
        <w:rPr>
          <w:rFonts w:ascii="华文仿宋" w:hAnsi="华文仿宋" w:cs="华文仿宋"/>
          <w:bCs/>
          <w:color w:val="auto"/>
        </w:rPr>
      </w:pPr>
      <w:r>
        <w:rPr>
          <w:rFonts w:hint="eastAsia" w:ascii="华文仿宋" w:hAnsi="华文仿宋" w:cs="华文仿宋"/>
          <w:bCs/>
          <w:color w:val="auto"/>
        </w:rPr>
        <w:t>第五章　响应文件构成及格式</w:t>
      </w:r>
    </w:p>
    <w:p w14:paraId="4D3C8AE3">
      <w:pPr>
        <w:spacing w:line="500" w:lineRule="exact"/>
        <w:ind w:firstLine="566" w:firstLineChars="200"/>
        <w:rPr>
          <w:rFonts w:ascii="华文仿宋" w:hAnsi="华文仿宋" w:cs="华文仿宋"/>
          <w:b/>
          <w:color w:val="auto"/>
        </w:rPr>
      </w:pPr>
      <w:r>
        <w:rPr>
          <w:rFonts w:hint="eastAsia" w:ascii="华文仿宋" w:hAnsi="华文仿宋" w:cs="华文仿宋"/>
          <w:b/>
          <w:color w:val="auto"/>
        </w:rPr>
        <w:t>（二）磋商文件的检查及阅读</w:t>
      </w:r>
      <w:bookmarkEnd w:id="108"/>
    </w:p>
    <w:p w14:paraId="2B2C247F">
      <w:pPr>
        <w:spacing w:line="500" w:lineRule="exact"/>
        <w:ind w:firstLine="566" w:firstLineChars="200"/>
        <w:rPr>
          <w:rFonts w:ascii="华文仿宋" w:hAnsi="华文仿宋" w:cs="华文仿宋"/>
          <w:color w:val="auto"/>
        </w:rPr>
      </w:pPr>
      <w:r>
        <w:rPr>
          <w:rFonts w:hint="eastAsia" w:ascii="华文仿宋" w:hAnsi="华文仿宋" w:cs="华文仿宋"/>
          <w:color w:val="auto"/>
        </w:rPr>
        <w:t>供应商下载磋商文件后应仔细阅读检查磋商文件中的所有内容，按照磋商文件中所列事项、条款、规范要求及格式，在响应文件中对磋商文件做出全面的响</w:t>
      </w:r>
      <w:r>
        <w:rPr>
          <w:rFonts w:hint="eastAsia" w:ascii="华文仿宋" w:hAnsi="华文仿宋" w:cs="华文仿宋"/>
          <w:color w:val="auto"/>
          <w:w w:val="1"/>
        </w:rPr>
        <w:t xml:space="preserve"> </w:t>
      </w:r>
      <w:r>
        <w:rPr>
          <w:rFonts w:hint="eastAsia" w:ascii="华文仿宋" w:hAnsi="华文仿宋" w:cs="华文仿宋"/>
          <w:color w:val="auto"/>
        </w:rPr>
        <w:t>应，并按磋商文件的要求提交全部资料。</w:t>
      </w:r>
    </w:p>
    <w:p w14:paraId="6AE2ADF0">
      <w:pPr>
        <w:spacing w:line="500" w:lineRule="exact"/>
        <w:ind w:firstLine="566" w:firstLineChars="200"/>
        <w:rPr>
          <w:rFonts w:ascii="华文仿宋" w:hAnsi="华文仿宋" w:cs="华文仿宋"/>
          <w:color w:val="auto"/>
        </w:rPr>
      </w:pPr>
      <w:r>
        <w:rPr>
          <w:rFonts w:hint="eastAsia" w:ascii="华文仿宋" w:hAnsi="华文仿宋" w:cs="华文仿宋"/>
          <w:color w:val="auto"/>
        </w:rPr>
        <w:t>项目废标后重新组织磋商的，陕西省省级单位政府采购中心将重新编制、发布新版磋商文件，供应商应按新版磋商文件重新编制响应文件。原磋商文件及响应文件失效。</w:t>
      </w:r>
    </w:p>
    <w:p w14:paraId="1BE113B5">
      <w:pPr>
        <w:spacing w:line="500" w:lineRule="exact"/>
        <w:ind w:firstLine="566" w:firstLineChars="200"/>
        <w:rPr>
          <w:rFonts w:ascii="华文仿宋" w:hAnsi="华文仿宋" w:cs="华文仿宋"/>
          <w:b/>
          <w:bCs/>
          <w:color w:val="auto"/>
        </w:rPr>
      </w:pPr>
      <w:r>
        <w:rPr>
          <w:rFonts w:hint="eastAsia" w:ascii="华文仿宋" w:hAnsi="华文仿宋" w:cs="华文仿宋"/>
          <w:b/>
          <w:bCs/>
          <w:color w:val="auto"/>
        </w:rPr>
        <w:t>响应文件封面、响应函以及法定代表人授权委托书三处的项目名称、项目编号、标段（如有）应当与最新发布的磋商文件保持一致，否则将被视为无效响应文件。</w:t>
      </w:r>
    </w:p>
    <w:p w14:paraId="00FA4C49">
      <w:pPr>
        <w:spacing w:line="500" w:lineRule="exact"/>
        <w:ind w:firstLine="566" w:firstLineChars="200"/>
        <w:rPr>
          <w:rFonts w:ascii="华文仿宋" w:hAnsi="华文仿宋" w:cs="华文仿宋"/>
          <w:b/>
          <w:color w:val="auto"/>
        </w:rPr>
      </w:pPr>
      <w:bookmarkStart w:id="109" w:name="_Toc12798_WPSOffice_Level3"/>
      <w:r>
        <w:rPr>
          <w:rFonts w:hint="eastAsia" w:ascii="华文仿宋" w:hAnsi="华文仿宋" w:cs="华文仿宋"/>
          <w:b/>
          <w:color w:val="auto"/>
        </w:rPr>
        <w:t>（三）磋商文件的修改、澄清</w:t>
      </w:r>
      <w:bookmarkEnd w:id="109"/>
    </w:p>
    <w:p w14:paraId="51A59447">
      <w:pPr>
        <w:spacing w:line="500" w:lineRule="exact"/>
        <w:ind w:firstLine="566" w:firstLineChars="200"/>
        <w:rPr>
          <w:rFonts w:ascii="华文仿宋" w:hAnsi="华文仿宋" w:cs="华文仿宋"/>
          <w:color w:val="auto"/>
        </w:rPr>
      </w:pPr>
      <w:r>
        <w:rPr>
          <w:rFonts w:hint="eastAsia" w:ascii="华文仿宋" w:hAnsi="华文仿宋" w:cs="华文仿宋"/>
          <w:color w:val="auto"/>
        </w:rPr>
        <w:t>1、在提交响应文件截止之日前，陕西省省级单位政府采购中心可对已发出的磋商文件进行必要的澄清或者修改，澄清或者修改的内容作为磋商文件的组成部分。澄清或者修改的内容可能影响响应文件编制的，陕西省省级单位政府采购中心将在提交响应文件截止之日至少</w:t>
      </w:r>
      <w:r>
        <w:rPr>
          <w:rFonts w:hint="eastAsia" w:ascii="仿宋" w:hAnsi="仿宋" w:eastAsia="仿宋" w:cs="仿宋"/>
          <w:color w:val="auto"/>
        </w:rPr>
        <w:t>5</w:t>
      </w:r>
      <w:r>
        <w:rPr>
          <w:rFonts w:hint="eastAsia" w:ascii="华文仿宋" w:hAnsi="华文仿宋" w:cs="华文仿宋"/>
          <w:color w:val="auto"/>
        </w:rPr>
        <w:t>日前，在财政部门指定的政府采购信息发布媒体上</w:t>
      </w:r>
      <w:r>
        <w:rPr>
          <w:rFonts w:hint="eastAsia" w:ascii="华文仿宋" w:hAnsi="华文仿宋" w:cs="华文仿宋"/>
          <w:b/>
          <w:bCs/>
          <w:color w:val="auto"/>
        </w:rPr>
        <w:t>发布更正公告</w:t>
      </w:r>
      <w:r>
        <w:rPr>
          <w:rFonts w:hint="eastAsia" w:ascii="华文仿宋" w:hAnsi="华文仿宋" w:cs="华文仿宋"/>
          <w:color w:val="auto"/>
        </w:rPr>
        <w:t>；不足</w:t>
      </w:r>
      <w:r>
        <w:rPr>
          <w:rFonts w:hint="eastAsia" w:ascii="仿宋" w:hAnsi="仿宋" w:eastAsia="仿宋" w:cs="仿宋"/>
          <w:color w:val="auto"/>
        </w:rPr>
        <w:t>5</w:t>
      </w:r>
      <w:r>
        <w:rPr>
          <w:rFonts w:hint="eastAsia" w:ascii="华文仿宋" w:hAnsi="华文仿宋" w:cs="华文仿宋"/>
          <w:color w:val="auto"/>
        </w:rPr>
        <w:t>日，陕西省省级单位政府采购中心将顺延提交响应文件的截止时间。</w:t>
      </w:r>
    </w:p>
    <w:p w14:paraId="0976BCFC">
      <w:pPr>
        <w:spacing w:line="500" w:lineRule="exact"/>
        <w:ind w:firstLine="566" w:firstLineChars="200"/>
        <w:rPr>
          <w:rFonts w:ascii="华文仿宋" w:hAnsi="华文仿宋" w:cs="华文仿宋"/>
          <w:color w:val="auto"/>
        </w:rPr>
      </w:pPr>
      <w:r>
        <w:rPr>
          <w:rFonts w:hint="eastAsia" w:ascii="仿宋" w:hAnsi="仿宋" w:eastAsia="仿宋" w:cs="仿宋"/>
          <w:color w:val="auto"/>
        </w:rPr>
        <w:t>2</w:t>
      </w:r>
      <w:r>
        <w:rPr>
          <w:rFonts w:hint="eastAsia" w:ascii="华文仿宋" w:hAnsi="华文仿宋" w:cs="华文仿宋"/>
          <w:color w:val="auto"/>
        </w:rPr>
        <w:t>、供应商对磋商文件提出质疑的，应在磋商文件公告期限届满之日起7个工作日内以书面形式提出，采购人或陕西省省级单位政府采购中心以书面形式予以答复；在此之后提出的针对磋商文件的质疑为无效质疑。答复的内容可能影响响应文件编制的，陕西省省级单位政府采购中心将在财政部门指定的政府采购信息发布媒体上</w:t>
      </w:r>
      <w:r>
        <w:rPr>
          <w:rFonts w:hint="eastAsia" w:ascii="华文仿宋" w:hAnsi="华文仿宋" w:cs="华文仿宋"/>
          <w:b/>
          <w:bCs/>
          <w:color w:val="auto"/>
        </w:rPr>
        <w:t>发布更正公告</w:t>
      </w:r>
      <w:r>
        <w:rPr>
          <w:rFonts w:hint="eastAsia" w:ascii="华文仿宋" w:hAnsi="华文仿宋" w:cs="华文仿宋"/>
          <w:color w:val="auto"/>
        </w:rPr>
        <w:t>。</w:t>
      </w:r>
    </w:p>
    <w:p w14:paraId="78F45F1C">
      <w:pPr>
        <w:spacing w:line="500" w:lineRule="exact"/>
        <w:ind w:firstLine="566" w:firstLineChars="200"/>
        <w:rPr>
          <w:rFonts w:ascii="华文仿宋" w:hAnsi="华文仿宋" w:cs="华文仿宋"/>
          <w:color w:val="auto"/>
        </w:rPr>
      </w:pPr>
      <w:r>
        <w:rPr>
          <w:rFonts w:hint="eastAsia" w:ascii="仿宋" w:hAnsi="仿宋" w:eastAsia="仿宋" w:cs="仿宋"/>
          <w:color w:val="auto"/>
        </w:rPr>
        <w:t>3</w:t>
      </w:r>
      <w:r>
        <w:rPr>
          <w:rFonts w:hint="eastAsia" w:ascii="华文仿宋" w:hAnsi="华文仿宋" w:cs="华文仿宋"/>
          <w:color w:val="auto"/>
        </w:rPr>
        <w:t>、各供应商在提交响应文件截止时间之前，应随时关注下列地址发布的变更公告，也可登录全国公共资源交易平台（陕西省）政府采购交易系统查看左上角的信息提醒，陕西省省级单位政府采购中心</w:t>
      </w:r>
      <w:r>
        <w:rPr>
          <w:rFonts w:hint="eastAsia" w:ascii="华文仿宋" w:hAnsi="华文仿宋" w:cs="华文仿宋"/>
          <w:b/>
          <w:bCs/>
          <w:color w:val="auto"/>
        </w:rPr>
        <w:t>不再单独通知，因供应商未及时关注所造成的一切后果由供应商自行承担：</w:t>
      </w:r>
    </w:p>
    <w:p w14:paraId="50AEDC27">
      <w:pPr>
        <w:wordWrap w:val="0"/>
        <w:spacing w:line="500" w:lineRule="exact"/>
        <w:ind w:firstLine="566" w:firstLineChars="200"/>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1</w:t>
      </w:r>
      <w:r>
        <w:rPr>
          <w:rFonts w:hint="eastAsia" w:ascii="华文仿宋" w:hAnsi="华文仿宋" w:cs="华文仿宋"/>
          <w:color w:val="auto"/>
        </w:rPr>
        <w:t>）【</w:t>
      </w:r>
      <w:r>
        <w:rPr>
          <w:color w:val="auto"/>
        </w:rPr>
        <w:fldChar w:fldCharType="begin"/>
      </w:r>
      <w:r>
        <w:rPr>
          <w:color w:val="auto"/>
        </w:rPr>
        <w:instrText xml:space="preserve"> HYPERLINK "http://www.ccgp-shaanxi.gov.cn/" </w:instrText>
      </w:r>
      <w:r>
        <w:rPr>
          <w:color w:val="auto"/>
        </w:rPr>
        <w:fldChar w:fldCharType="separate"/>
      </w:r>
      <w:r>
        <w:rPr>
          <w:rStyle w:val="34"/>
          <w:rFonts w:hint="eastAsia" w:ascii="华文仿宋" w:hAnsi="华文仿宋" w:cs="华文仿宋"/>
          <w:color w:val="auto"/>
          <w:sz w:val="28"/>
          <w:szCs w:val="28"/>
        </w:rPr>
        <w:t>陕西省政府采购网</w:t>
      </w:r>
      <w:r>
        <w:rPr>
          <w:rStyle w:val="34"/>
          <w:rFonts w:hint="eastAsia" w:ascii="华文仿宋" w:hAnsi="华文仿宋" w:cs="华文仿宋"/>
          <w:color w:val="auto"/>
          <w:sz w:val="28"/>
          <w:szCs w:val="28"/>
        </w:rPr>
        <w:fldChar w:fldCharType="end"/>
      </w:r>
      <w:r>
        <w:rPr>
          <w:rFonts w:hint="eastAsia" w:ascii="华文仿宋" w:hAnsi="华文仿宋" w:cs="华文仿宋"/>
          <w:color w:val="auto"/>
        </w:rPr>
        <w:t>（www.ccgp-shaanxi.gov.cn）】中的〖首页·〉省级公告·〉更正公告〗；</w:t>
      </w:r>
    </w:p>
    <w:p w14:paraId="3C9AA7C5">
      <w:pPr>
        <w:wordWrap w:val="0"/>
        <w:spacing w:line="500" w:lineRule="exact"/>
        <w:ind w:firstLine="566" w:firstLineChars="200"/>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2</w:t>
      </w:r>
      <w:r>
        <w:rPr>
          <w:rFonts w:hint="eastAsia" w:ascii="华文仿宋" w:hAnsi="华文仿宋" w:cs="华文仿宋"/>
          <w:color w:val="auto"/>
        </w:rPr>
        <w:t>）【全国公共资源交易平台（陕西省）</w:t>
      </w:r>
      <w:r>
        <w:rPr>
          <w:rFonts w:hint="eastAsia" w:ascii="华文仿宋" w:hAnsi="华文仿宋" w:cs="华文仿宋"/>
          <w:color w:val="auto"/>
          <w:kern w:val="0"/>
        </w:rPr>
        <w:t>（http://www.sxggzyjy.cn/）</w:t>
      </w:r>
      <w:r>
        <w:rPr>
          <w:rFonts w:hint="eastAsia" w:ascii="华文仿宋" w:hAnsi="华文仿宋" w:cs="华文仿宋"/>
          <w:color w:val="auto"/>
        </w:rPr>
        <w:t>】中的〖首页·〉交易大厅·〉政府采购〗</w:t>
      </w:r>
      <w:r>
        <w:rPr>
          <w:rFonts w:hint="eastAsia" w:ascii="华文仿宋" w:hAnsi="华文仿宋" w:cs="华文仿宋"/>
          <w:color w:val="auto"/>
          <w:lang w:eastAsia="zh-CN"/>
        </w:rPr>
        <w:t>。</w:t>
      </w:r>
    </w:p>
    <w:p w14:paraId="70736118">
      <w:pPr>
        <w:spacing w:line="500" w:lineRule="exact"/>
        <w:ind w:firstLine="566" w:firstLineChars="200"/>
        <w:rPr>
          <w:rFonts w:ascii="华文仿宋" w:hAnsi="华文仿宋" w:cs="华文仿宋"/>
          <w:b/>
          <w:color w:val="auto"/>
        </w:rPr>
      </w:pPr>
      <w:bookmarkStart w:id="110" w:name="_Toc18733_WPSOffice_Level3"/>
      <w:r>
        <w:rPr>
          <w:rFonts w:hint="eastAsia" w:ascii="华文仿宋" w:hAnsi="华文仿宋" w:cs="华文仿宋"/>
          <w:b/>
          <w:color w:val="auto"/>
        </w:rPr>
        <w:t>（四）磋商文件的解释权归陕西省省级单位政府采购中心。</w:t>
      </w:r>
      <w:bookmarkEnd w:id="110"/>
    </w:p>
    <w:p w14:paraId="7A8A6875">
      <w:pPr>
        <w:pStyle w:val="5"/>
        <w:spacing w:line="500" w:lineRule="exact"/>
        <w:ind w:firstLine="566" w:firstLineChars="200"/>
        <w:rPr>
          <w:rFonts w:ascii="华文仿宋" w:hAnsi="华文仿宋" w:cs="华文仿宋"/>
          <w:color w:val="auto"/>
          <w:sz w:val="28"/>
          <w:szCs w:val="28"/>
        </w:rPr>
      </w:pPr>
      <w:bookmarkStart w:id="111" w:name="_Toc30829"/>
      <w:bookmarkStart w:id="112" w:name="_Toc17240_WPSOffice_Level2"/>
      <w:bookmarkStart w:id="113" w:name="_Toc21288_WPSOffice_Level2"/>
      <w:bookmarkStart w:id="114" w:name="_Toc13828"/>
      <w:bookmarkStart w:id="115" w:name="_Toc16980_WPSOffice_Level2"/>
      <w:bookmarkStart w:id="116" w:name="_Toc30419"/>
      <w:r>
        <w:rPr>
          <w:rFonts w:hint="eastAsia" w:ascii="华文仿宋" w:hAnsi="华文仿宋" w:cs="华文仿宋"/>
          <w:color w:val="auto"/>
          <w:sz w:val="28"/>
          <w:szCs w:val="28"/>
        </w:rPr>
        <w:t>四、磋商保证金</w:t>
      </w:r>
      <w:bookmarkEnd w:id="111"/>
      <w:bookmarkEnd w:id="112"/>
      <w:bookmarkEnd w:id="113"/>
      <w:bookmarkEnd w:id="114"/>
      <w:bookmarkEnd w:id="115"/>
      <w:bookmarkEnd w:id="116"/>
    </w:p>
    <w:p w14:paraId="708BC7A7">
      <w:pPr>
        <w:autoSpaceDE w:val="0"/>
        <w:autoSpaceDN w:val="0"/>
        <w:adjustRightInd w:val="0"/>
        <w:snapToGrid w:val="0"/>
        <w:spacing w:line="500" w:lineRule="exact"/>
        <w:ind w:firstLine="566" w:firstLineChars="200"/>
        <w:rPr>
          <w:rFonts w:ascii="华文仿宋" w:hAnsi="华文仿宋" w:cs="华文仿宋"/>
          <w:b/>
          <w:color w:val="auto"/>
        </w:rPr>
      </w:pPr>
      <w:bookmarkStart w:id="117" w:name="_Toc31566_WPSOffice_Level3"/>
      <w:r>
        <w:rPr>
          <w:rFonts w:hint="eastAsia" w:ascii="华文仿宋" w:hAnsi="华文仿宋" w:cs="华文仿宋"/>
          <w:b/>
          <w:color w:val="auto"/>
        </w:rPr>
        <w:t>（一）</w:t>
      </w:r>
      <w:r>
        <w:rPr>
          <w:rFonts w:hint="eastAsia" w:ascii="华文仿宋" w:hAnsi="华文仿宋" w:cs="华文仿宋"/>
          <w:b/>
          <w:color w:val="auto"/>
          <w:lang w:val="zh-CN"/>
        </w:rPr>
        <w:t>磋商保证金的</w:t>
      </w:r>
      <w:r>
        <w:rPr>
          <w:rFonts w:hint="eastAsia" w:ascii="华文仿宋" w:hAnsi="华文仿宋" w:cs="华文仿宋"/>
          <w:b/>
          <w:color w:val="auto"/>
        </w:rPr>
        <w:t>交</w:t>
      </w:r>
      <w:r>
        <w:rPr>
          <w:rFonts w:hint="eastAsia" w:ascii="华文仿宋" w:hAnsi="华文仿宋" w:cs="华文仿宋"/>
          <w:b/>
          <w:color w:val="auto"/>
          <w:lang w:val="zh-CN"/>
        </w:rPr>
        <w:t>纳</w:t>
      </w:r>
    </w:p>
    <w:p w14:paraId="0FCEDA7A">
      <w:pPr>
        <w:spacing w:line="500" w:lineRule="exact"/>
        <w:ind w:firstLine="566" w:firstLineChars="200"/>
        <w:rPr>
          <w:rFonts w:ascii="华文仿宋" w:hAnsi="华文仿宋" w:cs="华文仿宋"/>
          <w:color w:val="auto"/>
        </w:rPr>
      </w:pPr>
      <w:r>
        <w:rPr>
          <w:rFonts w:hint="eastAsia" w:ascii="华文仿宋" w:hAnsi="华文仿宋" w:cs="华文仿宋"/>
          <w:color w:val="auto"/>
        </w:rPr>
        <w:t>1、供应商应按磋商文件第一章要求交纳磋商保证金。</w:t>
      </w:r>
      <w:r>
        <w:rPr>
          <w:rFonts w:hint="eastAsia" w:ascii="华文仿宋" w:hAnsi="华文仿宋" w:cs="华文仿宋"/>
          <w:color w:val="auto"/>
          <w:lang w:val="zh-CN"/>
        </w:rPr>
        <w:t>联系电话：</w:t>
      </w:r>
      <w:r>
        <w:rPr>
          <w:rFonts w:hint="eastAsia" w:ascii="仿宋" w:hAnsi="仿宋" w:eastAsia="仿宋" w:cs="仿宋"/>
          <w:color w:val="auto"/>
          <w:lang w:val="zh-CN"/>
        </w:rPr>
        <w:t>029-</w:t>
      </w:r>
      <w:r>
        <w:rPr>
          <w:rFonts w:hint="eastAsia" w:ascii="仿宋" w:hAnsi="仿宋" w:eastAsia="仿宋" w:cs="仿宋"/>
          <w:color w:val="auto"/>
        </w:rPr>
        <w:t>88661348</w:t>
      </w:r>
    </w:p>
    <w:p w14:paraId="7FEF128F">
      <w:pPr>
        <w:autoSpaceDE w:val="0"/>
        <w:autoSpaceDN w:val="0"/>
        <w:adjustRightInd w:val="0"/>
        <w:snapToGrid w:val="0"/>
        <w:spacing w:line="500" w:lineRule="exact"/>
        <w:ind w:firstLine="566" w:firstLineChars="200"/>
        <w:rPr>
          <w:rFonts w:hint="eastAsia" w:ascii="华文仿宋" w:hAnsi="华文仿宋" w:cs="华文仿宋"/>
          <w:color w:val="auto"/>
          <w:lang w:val="en-US" w:eastAsia="zh-CN"/>
        </w:rPr>
      </w:pPr>
      <w:r>
        <w:rPr>
          <w:rFonts w:hint="eastAsia" w:ascii="华文仿宋" w:hAnsi="华文仿宋" w:cs="华文仿宋"/>
          <w:color w:val="auto"/>
        </w:rPr>
        <w:t>2、</w:t>
      </w:r>
      <w:r>
        <w:rPr>
          <w:rFonts w:hint="eastAsia" w:ascii="华文仿宋" w:hAnsi="华文仿宋" w:eastAsia="华文仿宋" w:cs="华文仿宋"/>
          <w:color w:val="auto"/>
          <w:kern w:val="2"/>
          <w:sz w:val="28"/>
          <w:szCs w:val="28"/>
          <w:lang w:val="zh-CN" w:eastAsia="zh-CN" w:bidi="ar-SA"/>
        </w:rPr>
        <w:t>以纸质银行保函方式交纳保证金的，各供应商须将采购人开具的保函回执复印件（加盖供应商公章）附在响应文件中，否则视为无效响应。</w:t>
      </w:r>
    </w:p>
    <w:p w14:paraId="68A2CECC">
      <w:pPr>
        <w:autoSpaceDE w:val="0"/>
        <w:autoSpaceDN w:val="0"/>
        <w:adjustRightInd w:val="0"/>
        <w:snapToGrid w:val="0"/>
        <w:spacing w:line="500" w:lineRule="exact"/>
        <w:ind w:firstLine="566" w:firstLineChars="200"/>
        <w:rPr>
          <w:rFonts w:ascii="华文仿宋" w:hAnsi="华文仿宋" w:cs="华文仿宋"/>
          <w:color w:val="auto"/>
          <w:lang w:val="zh-CN"/>
        </w:rPr>
      </w:pPr>
      <w:r>
        <w:rPr>
          <w:rFonts w:hint="eastAsia" w:ascii="华文仿宋" w:hAnsi="华文仿宋" w:cs="华文仿宋"/>
          <w:color w:val="auto"/>
          <w:lang w:val="en-US" w:eastAsia="zh-CN"/>
        </w:rPr>
        <w:t>3</w:t>
      </w:r>
      <w:r>
        <w:rPr>
          <w:rFonts w:hint="eastAsia" w:ascii="华文仿宋" w:hAnsi="华文仿宋" w:cs="华文仿宋"/>
          <w:color w:val="auto"/>
          <w:lang w:val="zh-CN"/>
        </w:rPr>
        <w:t>、</w:t>
      </w:r>
      <w:r>
        <w:rPr>
          <w:rFonts w:hint="eastAsia" w:ascii="华文仿宋" w:hAnsi="华文仿宋" w:cs="华文仿宋"/>
          <w:color w:val="auto"/>
        </w:rPr>
        <w:t>项目废标后重新组织磋商的，保证金会退回原项目投标供应商账户，供应商需按照新的磋商文件要求</w:t>
      </w:r>
      <w:r>
        <w:rPr>
          <w:rFonts w:hint="eastAsia" w:ascii="华文仿宋" w:hAnsi="华文仿宋" w:cs="华文仿宋"/>
          <w:b/>
          <w:bCs/>
          <w:color w:val="auto"/>
        </w:rPr>
        <w:t>重新交纳保证金</w:t>
      </w:r>
      <w:r>
        <w:rPr>
          <w:rFonts w:hint="eastAsia" w:ascii="华文仿宋" w:hAnsi="华文仿宋" w:cs="华文仿宋"/>
          <w:color w:val="auto"/>
        </w:rPr>
        <w:t>。</w:t>
      </w:r>
    </w:p>
    <w:p w14:paraId="762B9F27">
      <w:pPr>
        <w:spacing w:line="500" w:lineRule="exact"/>
        <w:ind w:firstLine="566" w:firstLineChars="200"/>
        <w:rPr>
          <w:rFonts w:ascii="华文仿宋" w:hAnsi="华文仿宋" w:cs="华文仿宋"/>
          <w:color w:val="auto"/>
          <w:lang w:val="zh-CN"/>
        </w:rPr>
      </w:pPr>
      <w:r>
        <w:rPr>
          <w:rFonts w:hint="eastAsia" w:ascii="华文仿宋" w:hAnsi="华文仿宋" w:cs="华文仿宋"/>
          <w:b/>
          <w:color w:val="auto"/>
        </w:rPr>
        <w:t>（二）磋商保证金的退还</w:t>
      </w:r>
      <w:bookmarkEnd w:id="117"/>
    </w:p>
    <w:p w14:paraId="50107471">
      <w:pPr>
        <w:spacing w:line="500" w:lineRule="exact"/>
        <w:ind w:firstLine="566" w:firstLineChars="200"/>
        <w:rPr>
          <w:rFonts w:ascii="华文仿宋" w:hAnsi="华文仿宋" w:cs="华文仿宋"/>
          <w:color w:val="auto"/>
          <w:lang w:val="zh-CN"/>
        </w:rPr>
      </w:pPr>
      <w:r>
        <w:rPr>
          <w:rFonts w:hint="eastAsia" w:ascii="仿宋" w:hAnsi="仿宋" w:eastAsia="仿宋" w:cs="仿宋"/>
          <w:color w:val="auto"/>
        </w:rPr>
        <w:t>1</w:t>
      </w:r>
      <w:r>
        <w:rPr>
          <w:rFonts w:hint="eastAsia" w:ascii="华文仿宋" w:hAnsi="华文仿宋" w:cs="华文仿宋"/>
          <w:color w:val="auto"/>
          <w:lang w:val="zh-CN"/>
        </w:rPr>
        <w:t>、自成交通知书发出之日起</w:t>
      </w:r>
      <w:r>
        <w:rPr>
          <w:rFonts w:hint="eastAsia" w:ascii="仿宋" w:hAnsi="仿宋" w:eastAsia="仿宋" w:cs="仿宋"/>
          <w:color w:val="auto"/>
          <w:lang w:val="zh-CN"/>
        </w:rPr>
        <w:t>5</w:t>
      </w:r>
      <w:r>
        <w:rPr>
          <w:rFonts w:hint="eastAsia" w:ascii="华文仿宋" w:hAnsi="华文仿宋" w:cs="华文仿宋"/>
          <w:color w:val="auto"/>
          <w:lang w:val="zh-CN"/>
        </w:rPr>
        <w:t>个工作日内退还未成交供应商的磋商保证金，自采购合同签订之日起</w:t>
      </w:r>
      <w:r>
        <w:rPr>
          <w:rFonts w:hint="eastAsia" w:ascii="仿宋" w:hAnsi="仿宋" w:eastAsia="仿宋" w:cs="仿宋"/>
          <w:color w:val="auto"/>
          <w:lang w:val="zh-CN"/>
        </w:rPr>
        <w:t>5</w:t>
      </w:r>
      <w:r>
        <w:rPr>
          <w:rFonts w:hint="eastAsia" w:ascii="华文仿宋" w:hAnsi="华文仿宋" w:cs="华文仿宋"/>
          <w:color w:val="auto"/>
          <w:lang w:val="zh-CN"/>
        </w:rPr>
        <w:t>个工作日内退还成交供应商的磋商保证金。采购项目废标或终止的，磋商保证金自废标或终止公告发布之日起5个工作日内退还。</w:t>
      </w:r>
    </w:p>
    <w:p w14:paraId="46B64591">
      <w:pPr>
        <w:spacing w:line="500" w:lineRule="exact"/>
        <w:ind w:firstLine="566" w:firstLineChars="200"/>
        <w:rPr>
          <w:rFonts w:hint="eastAsia" w:ascii="仿宋" w:hAnsi="仿宋" w:eastAsia="仿宋" w:cs="仿宋"/>
          <w:color w:val="auto"/>
        </w:rPr>
      </w:pPr>
      <w:r>
        <w:rPr>
          <w:rFonts w:hint="eastAsia" w:ascii="仿宋" w:hAnsi="仿宋" w:eastAsia="仿宋" w:cs="仿宋"/>
          <w:color w:val="auto"/>
          <w:lang w:val="zh-CN"/>
        </w:rPr>
        <w:t>2</w:t>
      </w:r>
      <w:r>
        <w:rPr>
          <w:rFonts w:hint="eastAsia" w:ascii="华文仿宋" w:hAnsi="华文仿宋" w:cs="华文仿宋"/>
          <w:color w:val="auto"/>
          <w:lang w:val="zh-CN"/>
        </w:rPr>
        <w:t>、采用银行转账方式交纳的，陕西省公共资源交易中心财务部门将按原交纳路径退还；采用</w:t>
      </w:r>
      <w:r>
        <w:rPr>
          <w:rFonts w:hint="eastAsia" w:ascii="华文仿宋" w:hAnsi="华文仿宋" w:cs="华文仿宋"/>
          <w:color w:val="auto"/>
          <w:lang w:val="en-US" w:eastAsia="zh-CN"/>
        </w:rPr>
        <w:t>纸质</w:t>
      </w:r>
      <w:r>
        <w:rPr>
          <w:rFonts w:hint="eastAsia" w:ascii="华文仿宋" w:hAnsi="华文仿宋" w:cs="华文仿宋"/>
          <w:color w:val="auto"/>
          <w:lang w:val="zh-CN"/>
        </w:rPr>
        <w:t>银行保函方式交纳的，供应商须携带交纳时开具的回执前往采购人处换取银行保函，供应商自行向保函开具机构申请办理撤销或注销；采用电子保函方式交纳的，供应商可在电子保函系统中申请</w:t>
      </w:r>
      <w:r>
        <w:rPr>
          <w:rFonts w:hint="eastAsia" w:ascii="华文仿宋" w:hAnsi="华文仿宋" w:cs="华文仿宋"/>
          <w:color w:val="auto"/>
          <w:lang w:val="en-US" w:eastAsia="zh-CN"/>
        </w:rPr>
        <w:t>撤销</w:t>
      </w:r>
      <w:r>
        <w:rPr>
          <w:rFonts w:hint="eastAsia" w:ascii="华文仿宋" w:hAnsi="华文仿宋" w:cs="华文仿宋"/>
          <w:color w:val="auto"/>
          <w:lang w:val="zh-CN"/>
        </w:rPr>
        <w:t>。</w:t>
      </w:r>
    </w:p>
    <w:p w14:paraId="39DAC419">
      <w:pPr>
        <w:spacing w:line="500" w:lineRule="exact"/>
        <w:ind w:firstLine="566" w:firstLineChars="200"/>
        <w:rPr>
          <w:rFonts w:ascii="华文仿宋" w:hAnsi="华文仿宋" w:cs="华文仿宋"/>
          <w:color w:val="auto"/>
          <w:lang w:val="zh-CN"/>
        </w:rPr>
      </w:pPr>
      <w:r>
        <w:rPr>
          <w:rFonts w:hint="eastAsia" w:ascii="仿宋" w:hAnsi="仿宋" w:eastAsia="仿宋" w:cs="仿宋"/>
          <w:color w:val="auto"/>
        </w:rPr>
        <w:t>3</w:t>
      </w:r>
      <w:r>
        <w:rPr>
          <w:rFonts w:hint="eastAsia" w:ascii="华文仿宋" w:hAnsi="华文仿宋" w:cs="华文仿宋"/>
          <w:color w:val="auto"/>
          <w:lang w:val="zh-CN"/>
        </w:rPr>
        <w:t>、供应商有下列情形之一的，不予退还其交纳的磋商保证金：</w:t>
      </w:r>
    </w:p>
    <w:p w14:paraId="1CA81BD4">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1</w:t>
      </w:r>
      <w:r>
        <w:rPr>
          <w:rFonts w:hint="eastAsia" w:ascii="华文仿宋" w:hAnsi="华文仿宋" w:cs="华文仿宋"/>
          <w:color w:val="auto"/>
        </w:rPr>
        <w:t>）供应商在提交响应文件截止时间后撤回响应文件的；</w:t>
      </w:r>
    </w:p>
    <w:p w14:paraId="368441E7">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2</w:t>
      </w:r>
      <w:r>
        <w:rPr>
          <w:rFonts w:hint="eastAsia" w:ascii="华文仿宋" w:hAnsi="华文仿宋" w:cs="华文仿宋"/>
          <w:color w:val="auto"/>
        </w:rPr>
        <w:t>）供应商在响应文件中提供虚假材料的；</w:t>
      </w:r>
    </w:p>
    <w:p w14:paraId="56091861">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3</w:t>
      </w:r>
      <w:r>
        <w:rPr>
          <w:rFonts w:hint="eastAsia" w:ascii="华文仿宋" w:hAnsi="华文仿宋" w:cs="华文仿宋"/>
          <w:color w:val="auto"/>
        </w:rPr>
        <w:t>）除因不可抗力或</w:t>
      </w:r>
      <w:r>
        <w:rPr>
          <w:rFonts w:hint="eastAsia" w:ascii="华文仿宋" w:hAnsi="华文仿宋" w:cs="华文仿宋"/>
          <w:color w:val="auto"/>
          <w:lang w:val="en-US" w:eastAsia="zh-CN"/>
        </w:rPr>
        <w:t>磋商</w:t>
      </w:r>
      <w:r>
        <w:rPr>
          <w:rFonts w:hint="eastAsia" w:ascii="华文仿宋" w:hAnsi="华文仿宋" w:cs="华文仿宋"/>
          <w:color w:val="auto"/>
        </w:rPr>
        <w:t>文件认可的情形以外，成交供应商不与采购人签订合同的；</w:t>
      </w:r>
    </w:p>
    <w:p w14:paraId="3B0FA546">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4</w:t>
      </w:r>
      <w:r>
        <w:rPr>
          <w:rFonts w:hint="eastAsia" w:ascii="华文仿宋" w:hAnsi="华文仿宋" w:cs="华文仿宋"/>
          <w:color w:val="auto"/>
        </w:rPr>
        <w:t>）供应商与采购人、其他供应商或者采购代理机构恶意串通的；</w:t>
      </w:r>
    </w:p>
    <w:p w14:paraId="4DC9D441">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hint="eastAsia" w:ascii="仿宋" w:hAnsi="仿宋" w:eastAsia="仿宋" w:cs="仿宋"/>
          <w:color w:val="auto"/>
        </w:rPr>
        <w:t>5</w:t>
      </w:r>
      <w:r>
        <w:rPr>
          <w:rFonts w:hint="eastAsia" w:ascii="华文仿宋" w:hAnsi="华文仿宋" w:cs="华文仿宋"/>
          <w:color w:val="auto"/>
        </w:rPr>
        <w:t>）磋商文件规定的其他情形。</w:t>
      </w:r>
    </w:p>
    <w:p w14:paraId="44419871">
      <w:pPr>
        <w:pStyle w:val="5"/>
        <w:spacing w:line="500" w:lineRule="exact"/>
        <w:ind w:firstLine="566" w:firstLineChars="200"/>
        <w:rPr>
          <w:rFonts w:ascii="华文仿宋" w:hAnsi="华文仿宋" w:cs="华文仿宋"/>
          <w:color w:val="auto"/>
          <w:sz w:val="28"/>
          <w:szCs w:val="28"/>
        </w:rPr>
      </w:pPr>
      <w:bookmarkStart w:id="118" w:name="_Toc22501_WPSOffice_Level2"/>
      <w:bookmarkStart w:id="119" w:name="_Toc9141"/>
      <w:bookmarkStart w:id="120" w:name="_Toc20873_WPSOffice_Level2"/>
      <w:bookmarkStart w:id="121" w:name="_Toc19768_WPSOffice_Level2"/>
      <w:bookmarkStart w:id="122" w:name="_Toc14859"/>
      <w:bookmarkStart w:id="123" w:name="_Toc17482"/>
      <w:r>
        <w:rPr>
          <w:rFonts w:hint="eastAsia" w:ascii="华文仿宋" w:hAnsi="华文仿宋" w:cs="华文仿宋"/>
          <w:color w:val="auto"/>
          <w:sz w:val="28"/>
          <w:szCs w:val="28"/>
        </w:rPr>
        <w:t>五、磋商报价</w:t>
      </w:r>
      <w:bookmarkEnd w:id="118"/>
      <w:bookmarkEnd w:id="119"/>
      <w:bookmarkEnd w:id="120"/>
      <w:bookmarkEnd w:id="121"/>
      <w:bookmarkEnd w:id="122"/>
      <w:bookmarkEnd w:id="123"/>
    </w:p>
    <w:p w14:paraId="39A1A87F">
      <w:pPr>
        <w:spacing w:line="500" w:lineRule="exact"/>
        <w:ind w:firstLine="566" w:firstLineChars="200"/>
        <w:rPr>
          <w:rFonts w:ascii="华文仿宋" w:hAnsi="华文仿宋" w:cs="华文仿宋"/>
          <w:color w:val="auto"/>
        </w:rPr>
      </w:pPr>
      <w:r>
        <w:rPr>
          <w:rFonts w:hint="eastAsia" w:ascii="仿宋" w:hAnsi="仿宋" w:eastAsia="仿宋" w:cs="仿宋"/>
          <w:color w:val="auto"/>
        </w:rPr>
        <w:t>磋商报价是供应商响应招标项目要求的全部工作内容的价格体现，包括完成采购内容所需的直接费、间接费、利润、税金及其它相关的一切费用。</w:t>
      </w:r>
      <w:r>
        <w:rPr>
          <w:rFonts w:hint="eastAsia" w:ascii="华文仿宋" w:hAnsi="华文仿宋" w:cs="华文仿宋"/>
          <w:color w:val="auto"/>
        </w:rPr>
        <w:t>供应商在报价时应充分考虑所有可能发生的费用，</w:t>
      </w:r>
      <w:r>
        <w:rPr>
          <w:rFonts w:hint="eastAsia" w:ascii="华文仿宋" w:hAnsi="华文仿宋" w:cs="华文仿宋"/>
          <w:color w:val="auto"/>
          <w:lang w:val="zh-CN"/>
        </w:rPr>
        <w:t>磋商</w:t>
      </w:r>
      <w:r>
        <w:rPr>
          <w:rFonts w:hint="eastAsia" w:ascii="华文仿宋" w:hAnsi="华文仿宋" w:cs="华文仿宋"/>
          <w:color w:val="auto"/>
        </w:rPr>
        <w:t>文件未列明，而供应商认为应当计取的费用均应列入报价中。报价时不论是否计取，采购人均按已计取对待。</w:t>
      </w:r>
    </w:p>
    <w:p w14:paraId="11565D2C">
      <w:pPr>
        <w:numPr>
          <w:ilvl w:val="0"/>
          <w:numId w:val="4"/>
        </w:numPr>
        <w:spacing w:line="500" w:lineRule="exact"/>
        <w:ind w:firstLine="566" w:firstLineChars="200"/>
        <w:rPr>
          <w:color w:val="auto"/>
        </w:rPr>
      </w:pPr>
      <w:r>
        <w:rPr>
          <w:rFonts w:hint="eastAsia" w:ascii="华文仿宋" w:hAnsi="华文仿宋" w:cs="华文仿宋"/>
          <w:color w:val="auto"/>
        </w:rPr>
        <w:t>供应商</w:t>
      </w:r>
      <w:r>
        <w:rPr>
          <w:rFonts w:hint="eastAsia" w:ascii="仿宋" w:hAnsi="仿宋" w:eastAsia="仿宋" w:cs="仿宋"/>
          <w:color w:val="auto"/>
        </w:rPr>
        <w:t>应按照《响应文件构成及格式》中《第一次磋商报价表》中的相关要求填写需要响应的内容。</w:t>
      </w:r>
    </w:p>
    <w:p w14:paraId="257B649A">
      <w:pPr>
        <w:numPr>
          <w:ilvl w:val="0"/>
          <w:numId w:val="4"/>
        </w:numPr>
        <w:spacing w:line="500" w:lineRule="exact"/>
        <w:ind w:firstLine="566" w:firstLineChars="200"/>
        <w:rPr>
          <w:b/>
          <w:bCs/>
          <w:color w:val="auto"/>
        </w:rPr>
      </w:pPr>
      <w:r>
        <w:rPr>
          <w:rFonts w:hint="eastAsia"/>
          <w:b/>
          <w:bCs/>
          <w:color w:val="auto"/>
        </w:rPr>
        <w:t>磋商报价采取多轮报价的办法，最后报价作为计算价格分值的依据。</w:t>
      </w:r>
      <w:r>
        <w:rPr>
          <w:rFonts w:hint="eastAsia" w:ascii="仿宋" w:hAnsi="仿宋" w:eastAsia="仿宋"/>
          <w:b/>
          <w:bCs/>
          <w:color w:val="auto"/>
        </w:rPr>
        <w:t>供应商应在磋商当天，磋商小组规定的报价时间内，使用制作标书的</w:t>
      </w:r>
      <w:r>
        <w:rPr>
          <w:rFonts w:hint="eastAsia" w:ascii="仿宋" w:hAnsi="仿宋" w:eastAsia="仿宋" w:cs="仿宋"/>
          <w:b/>
          <w:bCs/>
          <w:color w:val="auto"/>
        </w:rPr>
        <w:t>数字认证证书（CA锁）</w:t>
      </w:r>
      <w:r>
        <w:rPr>
          <w:rFonts w:hint="eastAsia" w:ascii="仿宋" w:hAnsi="仿宋" w:eastAsia="仿宋"/>
          <w:b/>
          <w:bCs/>
          <w:color w:val="auto"/>
        </w:rPr>
        <w:t>登录</w:t>
      </w:r>
      <w:r>
        <w:rPr>
          <w:rFonts w:hint="eastAsia" w:ascii="仿宋" w:hAnsi="仿宋" w:eastAsia="仿宋" w:cs="仿宋"/>
          <w:b/>
          <w:bCs/>
          <w:color w:val="auto"/>
        </w:rPr>
        <w:t>全国公共资源交易平台（陕西省）网站〖首页·〉电子交易平台·〉企业端〗后</w:t>
      </w:r>
      <w:r>
        <w:rPr>
          <w:rFonts w:hint="eastAsia" w:ascii="仿宋" w:hAnsi="仿宋" w:eastAsia="仿宋"/>
          <w:b/>
          <w:bCs/>
          <w:color w:val="auto"/>
        </w:rPr>
        <w:t>，</w:t>
      </w:r>
      <w:r>
        <w:rPr>
          <w:rFonts w:hint="eastAsia" w:ascii="仿宋" w:hAnsi="仿宋" w:eastAsia="仿宋" w:cs="仿宋"/>
          <w:b/>
          <w:bCs/>
          <w:color w:val="auto"/>
        </w:rPr>
        <w:t>在〖我的项目〗下找到</w:t>
      </w:r>
      <w:r>
        <w:rPr>
          <w:rFonts w:hint="eastAsia" w:ascii="仿宋" w:hAnsi="仿宋" w:eastAsia="仿宋"/>
          <w:b/>
          <w:bCs/>
          <w:color w:val="auto"/>
        </w:rPr>
        <w:t>本次磋商的项目，填写最后报价表，签章并提交。</w:t>
      </w:r>
    </w:p>
    <w:p w14:paraId="25341DF4">
      <w:pPr>
        <w:numPr>
          <w:ilvl w:val="0"/>
          <w:numId w:val="4"/>
        </w:numPr>
        <w:spacing w:line="500" w:lineRule="exact"/>
        <w:ind w:firstLine="566" w:firstLineChars="200"/>
        <w:rPr>
          <w:b/>
          <w:bCs/>
          <w:color w:val="auto"/>
        </w:rPr>
      </w:pPr>
      <w:r>
        <w:rPr>
          <w:rFonts w:hint="eastAsia" w:ascii="仿宋" w:hAnsi="仿宋" w:eastAsia="仿宋"/>
          <w:b/>
          <w:bCs/>
          <w:color w:val="auto"/>
        </w:rPr>
        <w:t>如采购内容无实质性变更，各供应商的报价应逐次降低</w:t>
      </w:r>
      <w:r>
        <w:rPr>
          <w:rFonts w:hint="eastAsia" w:ascii="仿宋" w:hAnsi="仿宋" w:eastAsia="仿宋"/>
          <w:b/>
          <w:bCs/>
          <w:color w:val="auto"/>
          <w:lang w:eastAsia="zh-CN"/>
        </w:rPr>
        <w:t>。</w:t>
      </w:r>
      <w:r>
        <w:rPr>
          <w:rFonts w:hint="eastAsia" w:ascii="仿宋" w:hAnsi="仿宋" w:eastAsia="仿宋"/>
          <w:b/>
          <w:bCs/>
          <w:color w:val="auto"/>
        </w:rPr>
        <w:t>本次报价超过</w:t>
      </w:r>
      <w:r>
        <w:rPr>
          <w:rFonts w:hint="eastAsia" w:ascii="仿宋" w:hAnsi="仿宋" w:eastAsia="仿宋"/>
          <w:b/>
          <w:bCs/>
          <w:color w:val="auto"/>
          <w:lang w:eastAsia="zh-CN"/>
        </w:rPr>
        <w:t>采购预算或磋商文件规定的最高限价的，按无效投标处理；本次报价超过上次报价但未超过采购预算或磋商文件规定的最高限价的，</w:t>
      </w:r>
      <w:r>
        <w:rPr>
          <w:rFonts w:hint="eastAsia" w:ascii="仿宋" w:hAnsi="仿宋" w:eastAsia="仿宋"/>
          <w:b/>
          <w:bCs/>
          <w:color w:val="auto"/>
        </w:rPr>
        <w:t>或在规定时间内最后报价提交不成功的均为无效报价</w:t>
      </w:r>
      <w:r>
        <w:rPr>
          <w:rFonts w:hint="eastAsia" w:ascii="仿宋" w:hAnsi="仿宋" w:eastAsia="仿宋"/>
          <w:b/>
          <w:bCs/>
          <w:color w:val="auto"/>
          <w:lang w:eastAsia="zh-CN"/>
        </w:rPr>
        <w:t>，磋商小组在综合比较与评价时将使用上一轮有效报价进行报价评审。</w:t>
      </w:r>
    </w:p>
    <w:p w14:paraId="01C3E72B">
      <w:pPr>
        <w:spacing w:line="500" w:lineRule="exact"/>
        <w:ind w:firstLine="566" w:firstLineChars="200"/>
      </w:pPr>
      <w:r>
        <w:rPr>
          <w:rFonts w:hint="eastAsia" w:ascii="华文仿宋" w:hAnsi="华文仿宋" w:cs="华文仿宋"/>
        </w:rPr>
        <w:t>供应商最终报价较首次报价降价的，成交后，签订合同时应按照成交价较首次报价的下浮比率修改分项报价表中的相应报价。</w:t>
      </w:r>
    </w:p>
    <w:p w14:paraId="45D4B446">
      <w:pPr>
        <w:spacing w:line="500" w:lineRule="exact"/>
        <w:ind w:firstLine="566" w:firstLineChars="200"/>
        <w:rPr>
          <w:rFonts w:ascii="华文仿宋" w:hAnsi="华文仿宋" w:cs="华文仿宋"/>
          <w:color w:val="auto"/>
        </w:rPr>
      </w:pPr>
      <w:r>
        <w:rPr>
          <w:rFonts w:hint="eastAsia" w:ascii="华文仿宋" w:hAnsi="华文仿宋" w:cs="华文仿宋"/>
          <w:color w:val="auto"/>
        </w:rPr>
        <w:t>（</w:t>
      </w:r>
      <w:r>
        <w:rPr>
          <w:rFonts w:hint="eastAsia" w:ascii="华文仿宋" w:hAnsi="华文仿宋" w:cs="华文仿宋"/>
          <w:color w:val="auto"/>
          <w:lang w:eastAsia="zh-CN"/>
        </w:rPr>
        <w:t>四</w:t>
      </w:r>
      <w:r>
        <w:rPr>
          <w:rFonts w:hint="eastAsia" w:ascii="华文仿宋" w:hAnsi="华文仿宋" w:cs="华文仿宋"/>
          <w:color w:val="auto"/>
        </w:rPr>
        <w:t>）</w:t>
      </w:r>
      <w:r>
        <w:rPr>
          <w:rFonts w:hint="eastAsia" w:ascii="华文仿宋" w:hAnsi="华文仿宋" w:cs="华文仿宋"/>
          <w:color w:val="auto"/>
          <w:lang w:val="zh-CN"/>
        </w:rPr>
        <w:t>磋商</w:t>
      </w:r>
      <w:r>
        <w:rPr>
          <w:rFonts w:hint="eastAsia" w:ascii="华文仿宋" w:hAnsi="华文仿宋" w:cs="华文仿宋"/>
          <w:color w:val="auto"/>
        </w:rPr>
        <w:t>报价货币：</w:t>
      </w:r>
      <w:r>
        <w:rPr>
          <w:rFonts w:hint="eastAsia" w:ascii="华文仿宋" w:hAnsi="华文仿宋" w:cs="华文仿宋"/>
          <w:b/>
          <w:color w:val="auto"/>
        </w:rPr>
        <w:t>人民币</w:t>
      </w:r>
      <w:r>
        <w:rPr>
          <w:rFonts w:hint="eastAsia" w:ascii="华文仿宋" w:hAnsi="华文仿宋" w:cs="华文仿宋"/>
          <w:color w:val="auto"/>
        </w:rPr>
        <w:t>；</w:t>
      </w:r>
      <w:r>
        <w:rPr>
          <w:rFonts w:hint="eastAsia" w:ascii="华文仿宋" w:hAnsi="华文仿宋" w:cs="华文仿宋"/>
          <w:b/>
          <w:bCs/>
          <w:color w:val="auto"/>
        </w:rPr>
        <w:t>单位：元</w:t>
      </w:r>
      <w:r>
        <w:rPr>
          <w:rFonts w:hint="eastAsia" w:ascii="华文仿宋" w:hAnsi="华文仿宋" w:cs="华文仿宋"/>
          <w:bCs/>
          <w:color w:val="auto"/>
        </w:rPr>
        <w:t>，</w:t>
      </w:r>
      <w:r>
        <w:rPr>
          <w:rFonts w:hint="eastAsia" w:ascii="华文仿宋" w:hAnsi="华文仿宋" w:cs="华文仿宋"/>
          <w:b/>
          <w:color w:val="auto"/>
        </w:rPr>
        <w:t>保留到元</w:t>
      </w:r>
      <w:r>
        <w:rPr>
          <w:rFonts w:hint="eastAsia" w:ascii="华文仿宋" w:hAnsi="华文仿宋" w:cs="华文仿宋"/>
          <w:bCs/>
          <w:color w:val="auto"/>
        </w:rPr>
        <w:t>。</w:t>
      </w:r>
    </w:p>
    <w:p w14:paraId="613A77D6">
      <w:pPr>
        <w:spacing w:line="500" w:lineRule="exact"/>
        <w:ind w:firstLine="566" w:firstLineChars="200"/>
        <w:rPr>
          <w:rFonts w:ascii="华文仿宋" w:hAnsi="华文仿宋" w:cs="华文仿宋"/>
          <w:color w:val="auto"/>
        </w:rPr>
      </w:pPr>
      <w:r>
        <w:rPr>
          <w:rFonts w:hint="eastAsia" w:ascii="华文仿宋" w:hAnsi="华文仿宋" w:cs="华文仿宋"/>
          <w:color w:val="auto"/>
        </w:rPr>
        <w:t>（</w:t>
      </w:r>
      <w:r>
        <w:rPr>
          <w:rFonts w:hint="eastAsia" w:ascii="华文仿宋" w:hAnsi="华文仿宋" w:cs="华文仿宋"/>
          <w:color w:val="auto"/>
          <w:lang w:eastAsia="zh-CN"/>
        </w:rPr>
        <w:t>五</w:t>
      </w:r>
      <w:r>
        <w:rPr>
          <w:rFonts w:hint="eastAsia" w:ascii="华文仿宋" w:hAnsi="华文仿宋" w:cs="华文仿宋"/>
          <w:color w:val="auto"/>
        </w:rPr>
        <w:t>）磋商报价大小写不一致的以大写为准。</w:t>
      </w:r>
    </w:p>
    <w:p w14:paraId="5FA39F28">
      <w:pPr>
        <w:spacing w:line="500" w:lineRule="exact"/>
        <w:ind w:firstLine="566" w:firstLineChars="200"/>
        <w:rPr>
          <w:rFonts w:ascii="华文仿宋" w:hAnsi="华文仿宋" w:cs="华文仿宋"/>
          <w:color w:val="auto"/>
        </w:rPr>
      </w:pPr>
      <w:r>
        <w:rPr>
          <w:rFonts w:hint="eastAsia" w:ascii="华文仿宋" w:hAnsi="华文仿宋" w:cs="华文仿宋"/>
          <w:color w:val="auto"/>
        </w:rPr>
        <w:t>（</w:t>
      </w:r>
      <w:r>
        <w:rPr>
          <w:rFonts w:hint="eastAsia" w:ascii="华文仿宋" w:hAnsi="华文仿宋" w:cs="华文仿宋"/>
          <w:color w:val="auto"/>
          <w:lang w:eastAsia="zh-CN"/>
        </w:rPr>
        <w:t>六</w:t>
      </w:r>
      <w:r>
        <w:rPr>
          <w:rFonts w:hint="eastAsia" w:ascii="华文仿宋" w:hAnsi="华文仿宋" w:cs="华文仿宋"/>
          <w:color w:val="auto"/>
        </w:rPr>
        <w:t>）因供应商对磋商文件理解不透、误解、疏漏或对市场行情了解不清造成的后果和风险，均由供应商自己负责。</w:t>
      </w:r>
    </w:p>
    <w:p w14:paraId="402C93AC">
      <w:pPr>
        <w:pStyle w:val="5"/>
        <w:spacing w:line="500" w:lineRule="exact"/>
        <w:ind w:firstLine="566" w:firstLineChars="200"/>
        <w:rPr>
          <w:rFonts w:ascii="华文仿宋" w:hAnsi="华文仿宋" w:cs="华文仿宋"/>
          <w:color w:val="auto"/>
          <w:sz w:val="28"/>
          <w:szCs w:val="28"/>
        </w:rPr>
      </w:pPr>
      <w:bookmarkStart w:id="124" w:name="_Toc29669_WPSOffice_Level2"/>
      <w:bookmarkStart w:id="125" w:name="_Toc387"/>
      <w:bookmarkStart w:id="126" w:name="_Toc4720"/>
      <w:bookmarkStart w:id="127" w:name="_Toc5141"/>
      <w:bookmarkStart w:id="128" w:name="_Toc20041_WPSOffice_Level2"/>
      <w:bookmarkStart w:id="129" w:name="_Toc14959_WPSOffice_Level2"/>
      <w:r>
        <w:rPr>
          <w:rFonts w:hint="eastAsia" w:ascii="华文仿宋" w:hAnsi="华文仿宋" w:cs="华文仿宋"/>
          <w:color w:val="auto"/>
          <w:sz w:val="28"/>
          <w:szCs w:val="28"/>
        </w:rPr>
        <w:t>六、响应文件</w:t>
      </w:r>
      <w:bookmarkEnd w:id="124"/>
      <w:bookmarkEnd w:id="125"/>
      <w:bookmarkEnd w:id="126"/>
      <w:bookmarkEnd w:id="127"/>
      <w:bookmarkEnd w:id="128"/>
      <w:bookmarkEnd w:id="129"/>
    </w:p>
    <w:p w14:paraId="76295131">
      <w:pPr>
        <w:spacing w:line="500" w:lineRule="exact"/>
        <w:ind w:firstLine="566" w:firstLineChars="200"/>
        <w:rPr>
          <w:rFonts w:ascii="仿宋" w:hAnsi="仿宋" w:eastAsia="仿宋" w:cs="仿宋"/>
          <w:b/>
          <w:bCs/>
          <w:color w:val="auto"/>
        </w:rPr>
      </w:pPr>
      <w:bookmarkStart w:id="130" w:name="_Toc30535_WPSOffice_Level2"/>
      <w:bookmarkStart w:id="131" w:name="_Toc18733_WPSOffice_Level2"/>
      <w:bookmarkStart w:id="132" w:name="_Toc7898_WPSOffice_Level2"/>
      <w:r>
        <w:rPr>
          <w:rFonts w:hint="eastAsia" w:ascii="仿宋" w:hAnsi="仿宋" w:eastAsia="仿宋" w:cs="仿宋"/>
          <w:b/>
          <w:bCs/>
          <w:color w:val="auto"/>
        </w:rPr>
        <w:t>（一）响应文件形式</w:t>
      </w:r>
    </w:p>
    <w:p w14:paraId="672AAD3F">
      <w:pPr>
        <w:spacing w:line="500" w:lineRule="exact"/>
        <w:ind w:firstLine="566" w:firstLineChars="200"/>
        <w:rPr>
          <w:rFonts w:ascii="仿宋" w:hAnsi="仿宋" w:eastAsia="仿宋" w:cs="仿宋"/>
          <w:color w:val="auto"/>
        </w:rPr>
      </w:pPr>
      <w:r>
        <w:rPr>
          <w:rFonts w:hint="eastAsia" w:ascii="仿宋" w:hAnsi="仿宋" w:eastAsia="仿宋" w:cs="仿宋"/>
          <w:color w:val="auto"/>
        </w:rPr>
        <w:t>本项目采用电子响应文件的形式。</w:t>
      </w:r>
    </w:p>
    <w:p w14:paraId="53375B9F">
      <w:pPr>
        <w:spacing w:line="500" w:lineRule="exact"/>
        <w:ind w:firstLine="566" w:firstLineChars="200"/>
        <w:rPr>
          <w:rFonts w:ascii="仿宋" w:hAnsi="仿宋" w:eastAsia="仿宋" w:cs="仿宋"/>
          <w:color w:val="auto"/>
        </w:rPr>
      </w:pPr>
      <w:r>
        <w:rPr>
          <w:rFonts w:hint="eastAsia" w:ascii="仿宋" w:hAnsi="仿宋" w:eastAsia="仿宋" w:cs="仿宋"/>
          <w:color w:val="auto"/>
        </w:rPr>
        <w:t>编制电子响应文件时，应使用最新发布的电子磋商文件及专用制作工具进行编制。并使用数字认证证书（CA锁）对电子响应文件进行签署、加密、递交及磋商时解密等相关操作。</w:t>
      </w:r>
    </w:p>
    <w:p w14:paraId="7B5A3678">
      <w:pPr>
        <w:spacing w:line="500" w:lineRule="exact"/>
        <w:ind w:firstLine="566" w:firstLineChars="200"/>
        <w:rPr>
          <w:rFonts w:ascii="仿宋" w:hAnsi="仿宋" w:eastAsia="仿宋" w:cs="仿宋"/>
          <w:color w:val="auto"/>
        </w:rPr>
      </w:pPr>
      <w:r>
        <w:rPr>
          <w:rFonts w:hint="eastAsia" w:ascii="仿宋" w:hAnsi="仿宋" w:eastAsia="仿宋" w:cs="仿宋"/>
          <w:color w:val="auto"/>
        </w:rPr>
        <w:t>1、电子磋商文件下载。供应商登录全国公共资源交易平台（陕西省）网站〖首页·〉电子交易平台·〉企业端〗后，在〖招标公告/出让公告〗模块中选择项目</w:t>
      </w:r>
      <w:r>
        <w:rPr>
          <w:rFonts w:hint="eastAsia" w:ascii="仿宋" w:hAnsi="仿宋" w:eastAsia="仿宋" w:cs="仿宋"/>
          <w:bCs/>
          <w:color w:val="auto"/>
        </w:rPr>
        <w:t>点击“我要投标”，参与投标活动。然后即可</w:t>
      </w:r>
      <w:r>
        <w:rPr>
          <w:rFonts w:hint="eastAsia" w:ascii="仿宋" w:hAnsi="仿宋" w:eastAsia="仿宋" w:cs="仿宋"/>
          <w:color w:val="auto"/>
        </w:rPr>
        <w:t>在〖我的项目〗中点击“项目流程&gt;交易文件下载”下载电子磋商文件（*.SXSZF）。</w:t>
      </w:r>
    </w:p>
    <w:p w14:paraId="6697CBA6">
      <w:pPr>
        <w:spacing w:line="500" w:lineRule="exact"/>
        <w:ind w:firstLine="566" w:firstLineChars="200"/>
        <w:rPr>
          <w:rFonts w:ascii="仿宋" w:hAnsi="仿宋" w:eastAsia="仿宋" w:cs="仿宋"/>
          <w:color w:val="auto"/>
        </w:rPr>
      </w:pPr>
      <w:r>
        <w:rPr>
          <w:rFonts w:hint="eastAsia" w:ascii="仿宋" w:hAnsi="仿宋" w:eastAsia="仿宋" w:cs="仿宋"/>
          <w:color w:val="auto"/>
        </w:rPr>
        <w:t>注意：该项目如有变更文件，则应点击“项目流程&gt;答疑文件下载”下载更新后的电子磋商文件（*.SXSCF），使用旧版电子磋商文件制作的电子响应文件，系统将拒绝接收。</w:t>
      </w:r>
    </w:p>
    <w:p w14:paraId="5DAF2C4D">
      <w:pPr>
        <w:numPr>
          <w:ilvl w:val="0"/>
          <w:numId w:val="5"/>
        </w:numPr>
        <w:spacing w:line="500" w:lineRule="exact"/>
        <w:ind w:firstLine="566" w:firstLineChars="200"/>
        <w:rPr>
          <w:rFonts w:ascii="仿宋" w:hAnsi="仿宋" w:eastAsia="仿宋" w:cs="仿宋"/>
          <w:color w:val="auto"/>
        </w:rPr>
      </w:pPr>
      <w:r>
        <w:rPr>
          <w:rFonts w:hint="eastAsia" w:ascii="仿宋" w:hAnsi="仿宋" w:eastAsia="仿宋" w:cs="仿宋"/>
          <w:color w:val="auto"/>
        </w:rPr>
        <w:t>电子磋商文件需要使用专用软件打开、浏览。供应商可在全国公共资源交易平台（陕西省）网站〖首页·〉服务指南·〉下载专区〗免费下载“陕西省公共资源交易平台政府采购电子标书制作工具”，并升级至最新版本，使用该客户端可以打开电子磋商文件。软件操作手册详见全国公共资源交易平台（陕西省）网站〖首页·〉服务指南·〉下载专区〗中的《陕西省公共资源交易（政府采购类）响应文件制作软件操作手册》。</w:t>
      </w:r>
    </w:p>
    <w:p w14:paraId="035D9FFE">
      <w:pPr>
        <w:numPr>
          <w:ilvl w:val="0"/>
          <w:numId w:val="5"/>
        </w:numPr>
        <w:spacing w:line="500" w:lineRule="exact"/>
        <w:ind w:firstLine="566" w:firstLineChars="200"/>
        <w:rPr>
          <w:rFonts w:ascii="仿宋" w:hAnsi="仿宋" w:eastAsia="仿宋" w:cs="仿宋"/>
          <w:color w:val="auto"/>
        </w:rPr>
      </w:pPr>
      <w:r>
        <w:rPr>
          <w:rFonts w:hint="eastAsia" w:ascii="仿宋" w:hAnsi="仿宋" w:eastAsia="仿宋" w:cs="仿宋"/>
          <w:color w:val="auto"/>
        </w:rPr>
        <w:t>制作电子响应文件。电子响应文件同样需要使用上述软件进行编制。在编制过程中，如有技术性问题，请先翻阅操作手册，或致电软件开发商。技术支持热线：4009280095</w:t>
      </w:r>
      <w:r>
        <w:rPr>
          <w:rFonts w:hint="eastAsia" w:ascii="仿宋" w:hAnsi="仿宋" w:eastAsia="仿宋" w:cs="仿宋"/>
          <w:color w:val="auto"/>
          <w:lang w:eastAsia="zh-CN"/>
        </w:rPr>
        <w:t>。</w:t>
      </w:r>
    </w:p>
    <w:p w14:paraId="12DB285A">
      <w:pPr>
        <w:pStyle w:val="2"/>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4、由于编排混乱导致磋商文件被误读或查找不到，或因字迹潦草或表达不清所导致的不利后果，由潜在供应商自行承担。</w:t>
      </w:r>
    </w:p>
    <w:p w14:paraId="1F8C24F8">
      <w:pPr>
        <w:spacing w:line="500" w:lineRule="exact"/>
        <w:ind w:firstLine="566" w:firstLineChars="200"/>
        <w:rPr>
          <w:rFonts w:hint="eastAsia" w:ascii="仿宋" w:hAnsi="仿宋" w:eastAsia="仿宋" w:cs="仿宋"/>
          <w:color w:val="auto"/>
        </w:rPr>
      </w:pPr>
      <w:r>
        <w:rPr>
          <w:rFonts w:hint="eastAsia" w:ascii="仿宋" w:hAnsi="仿宋" w:eastAsia="仿宋" w:cs="仿宋"/>
          <w:b w:val="0"/>
          <w:color w:val="auto"/>
        </w:rPr>
        <w:t>（二）</w:t>
      </w:r>
      <w:r>
        <w:rPr>
          <w:rFonts w:hint="eastAsia" w:ascii="仿宋" w:hAnsi="仿宋" w:eastAsia="仿宋" w:cs="仿宋"/>
          <w:b/>
          <w:bCs/>
          <w:color w:val="auto"/>
        </w:rPr>
        <w:t>响应文件</w:t>
      </w:r>
      <w:r>
        <w:rPr>
          <w:rFonts w:hint="eastAsia" w:ascii="仿宋" w:hAnsi="仿宋" w:eastAsia="仿宋" w:cs="仿宋"/>
          <w:b/>
          <w:bCs/>
          <w:color w:val="auto"/>
          <w:lang w:val="en-US" w:eastAsia="zh-CN"/>
        </w:rPr>
        <w:t>语言及</w:t>
      </w:r>
      <w:r>
        <w:rPr>
          <w:rFonts w:hint="eastAsia" w:ascii="仿宋" w:hAnsi="仿宋" w:eastAsia="仿宋" w:cs="仿宋"/>
          <w:b/>
          <w:bCs/>
          <w:color w:val="auto"/>
        </w:rPr>
        <w:t>有效期</w:t>
      </w:r>
    </w:p>
    <w:p w14:paraId="199762A8">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rPr>
      </w:pPr>
      <w:r>
        <w:rPr>
          <w:rFonts w:hint="eastAsia" w:ascii="仿宋" w:hAnsi="仿宋" w:eastAsia="仿宋" w:cs="仿宋"/>
          <w:color w:val="auto"/>
        </w:rPr>
        <w:t>1、</w:t>
      </w:r>
      <w:r>
        <w:rPr>
          <w:rFonts w:hint="eastAsia" w:ascii="华文仿宋" w:hAnsi="华文仿宋" w:eastAsia="华文仿宋" w:cs="华文仿宋"/>
          <w:color w:val="auto"/>
          <w:lang w:val="en-US" w:eastAsia="zh-CN"/>
        </w:rPr>
        <w:t>响应</w:t>
      </w:r>
      <w:r>
        <w:rPr>
          <w:rFonts w:hint="eastAsia" w:ascii="华文仿宋" w:hAnsi="华文仿宋" w:cs="华文仿宋"/>
          <w:color w:val="auto"/>
          <w:lang w:val="en-US" w:eastAsia="zh-CN"/>
        </w:rPr>
        <w:t>活动</w:t>
      </w:r>
      <w:r>
        <w:rPr>
          <w:rFonts w:hint="eastAsia" w:ascii="华文仿宋" w:hAnsi="华文仿宋" w:eastAsia="华文仿宋" w:cs="华文仿宋"/>
          <w:color w:val="auto"/>
        </w:rPr>
        <w:t>的所有文件、资料、函电文均使用简体中文，确需提交用其他语言形成的资料，必须翻译成简体中文，如有差异，以简体中文为准。</w:t>
      </w:r>
    </w:p>
    <w:p w14:paraId="77675AF0">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响应文件有效期为</w:t>
      </w:r>
      <w:r>
        <w:rPr>
          <w:rFonts w:hint="eastAsia" w:ascii="仿宋" w:hAnsi="仿宋" w:eastAsia="仿宋" w:cs="仿宋"/>
          <w:b/>
          <w:bCs/>
          <w:color w:val="auto"/>
        </w:rPr>
        <w:t>自响应文件开启之日起90个日历日</w:t>
      </w:r>
      <w:r>
        <w:rPr>
          <w:rFonts w:hint="eastAsia" w:ascii="仿宋" w:hAnsi="仿宋" w:eastAsia="仿宋" w:cs="仿宋"/>
          <w:color w:val="auto"/>
        </w:rPr>
        <w:t>。如成交，延长至合同执行完毕时止。</w:t>
      </w:r>
    </w:p>
    <w:p w14:paraId="7A2CB598">
      <w:pPr>
        <w:ind w:firstLine="566" w:firstLineChars="200"/>
        <w:rPr>
          <w:rFonts w:ascii="仿宋" w:hAnsi="仿宋" w:eastAsia="仿宋" w:cs="仿宋"/>
          <w:b/>
          <w:color w:val="auto"/>
        </w:rPr>
      </w:pPr>
      <w:r>
        <w:rPr>
          <w:rFonts w:hint="eastAsia" w:ascii="仿宋" w:hAnsi="仿宋" w:eastAsia="仿宋" w:cs="仿宋"/>
          <w:b/>
          <w:color w:val="auto"/>
        </w:rPr>
        <w:t>（三）响应文件的提交</w:t>
      </w:r>
    </w:p>
    <w:p w14:paraId="5AD48C9C">
      <w:pPr>
        <w:spacing w:line="500" w:lineRule="exact"/>
        <w:ind w:firstLine="566" w:firstLineChars="200"/>
        <w:rPr>
          <w:color w:val="auto"/>
        </w:rPr>
      </w:pPr>
      <w:r>
        <w:rPr>
          <w:rFonts w:hint="eastAsia"/>
          <w:color w:val="auto"/>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SXSTF）。上传成功后，电子化平台将予以记录。</w:t>
      </w:r>
    </w:p>
    <w:p w14:paraId="03EDF97A">
      <w:pPr>
        <w:spacing w:line="500" w:lineRule="exact"/>
        <w:ind w:firstLine="566" w:firstLineChars="200"/>
        <w:rPr>
          <w:rFonts w:ascii="仿宋" w:hAnsi="仿宋" w:eastAsia="仿宋" w:cs="仿宋"/>
          <w:b/>
          <w:color w:val="auto"/>
        </w:rPr>
      </w:pPr>
      <w:bookmarkStart w:id="133" w:name="_Toc15608"/>
      <w:bookmarkStart w:id="134" w:name="_Toc6095"/>
      <w:bookmarkStart w:id="135" w:name="_Toc24468"/>
      <w:r>
        <w:rPr>
          <w:rFonts w:hint="eastAsia" w:ascii="仿宋" w:hAnsi="仿宋" w:eastAsia="仿宋" w:cs="仿宋"/>
          <w:b/>
          <w:color w:val="auto"/>
        </w:rPr>
        <w:t>（四）响应文件的补充、修改和撤回</w:t>
      </w:r>
      <w:bookmarkEnd w:id="133"/>
      <w:bookmarkEnd w:id="134"/>
      <w:bookmarkEnd w:id="135"/>
    </w:p>
    <w:p w14:paraId="2B18A10F">
      <w:pPr>
        <w:spacing w:line="500" w:lineRule="exact"/>
        <w:ind w:firstLine="566" w:firstLineChars="200"/>
        <w:rPr>
          <w:rFonts w:ascii="华文仿宋" w:hAnsi="华文仿宋" w:cs="华文仿宋"/>
          <w:color w:val="auto"/>
        </w:rPr>
      </w:pPr>
      <w:r>
        <w:rPr>
          <w:rFonts w:hint="eastAsia" w:ascii="仿宋" w:hAnsi="仿宋" w:eastAsia="仿宋" w:cs="仿宋"/>
          <w:color w:val="auto"/>
        </w:rPr>
        <w:t>1、</w:t>
      </w:r>
      <w:r>
        <w:rPr>
          <w:rFonts w:hint="eastAsia" w:ascii="华文仿宋" w:hAnsi="华文仿宋" w:cs="华文仿宋"/>
          <w:color w:val="auto"/>
        </w:rPr>
        <w:t>供应商在递交</w:t>
      </w:r>
      <w:r>
        <w:rPr>
          <w:rFonts w:hint="eastAsia" w:ascii="华文仿宋" w:hAnsi="华文仿宋" w:cs="华文仿宋"/>
          <w:color w:val="auto"/>
          <w:highlight w:val="none"/>
          <w:lang w:eastAsia="zh-CN"/>
        </w:rPr>
        <w:t>电子</w:t>
      </w:r>
      <w:r>
        <w:rPr>
          <w:rFonts w:hint="eastAsia" w:ascii="华文仿宋" w:hAnsi="华文仿宋" w:cs="华文仿宋"/>
          <w:color w:val="auto"/>
        </w:rPr>
        <w:t>响应文件后，且在提交</w:t>
      </w:r>
      <w:r>
        <w:rPr>
          <w:rFonts w:hint="eastAsia" w:ascii="华文仿宋" w:hAnsi="华文仿宋" w:cs="华文仿宋"/>
          <w:color w:val="auto"/>
          <w:highlight w:val="none"/>
          <w:lang w:eastAsia="zh-CN"/>
        </w:rPr>
        <w:t>电子</w:t>
      </w:r>
      <w:r>
        <w:rPr>
          <w:rFonts w:hint="eastAsia" w:ascii="华文仿宋" w:hAnsi="华文仿宋" w:cs="华文仿宋"/>
          <w:color w:val="auto"/>
        </w:rPr>
        <w:t>响应文件截止时间前，可以对所提交的响应文件进行补充、修改或撤回。</w:t>
      </w:r>
    </w:p>
    <w:p w14:paraId="271F2D6E">
      <w:pPr>
        <w:spacing w:line="500" w:lineRule="exact"/>
        <w:ind w:firstLine="566" w:firstLineChars="200"/>
        <w:rPr>
          <w:color w:val="auto"/>
        </w:rPr>
      </w:pPr>
      <w:r>
        <w:rPr>
          <w:rFonts w:hint="eastAsia" w:ascii="仿宋" w:hAnsi="仿宋" w:eastAsia="仿宋" w:cs="仿宋"/>
          <w:color w:val="auto"/>
        </w:rPr>
        <w:t>2、</w:t>
      </w:r>
      <w:r>
        <w:rPr>
          <w:rFonts w:hint="eastAsia"/>
          <w:color w:val="auto"/>
        </w:rPr>
        <w:t>对电子响应文件进行补充、修改的，应先从电子交易平台上撤回旧版，再重新提交新版。</w:t>
      </w:r>
    </w:p>
    <w:p w14:paraId="1090DED2">
      <w:pPr>
        <w:spacing w:line="500" w:lineRule="exact"/>
        <w:ind w:firstLine="566" w:firstLineChars="200"/>
        <w:rPr>
          <w:rFonts w:ascii="仿宋" w:hAnsi="仿宋" w:eastAsia="仿宋" w:cs="仿宋"/>
          <w:color w:val="auto"/>
        </w:rPr>
      </w:pPr>
      <w:r>
        <w:rPr>
          <w:rFonts w:hint="eastAsia" w:ascii="仿宋" w:hAnsi="仿宋" w:eastAsia="仿宋" w:cs="仿宋"/>
          <w:color w:val="auto"/>
        </w:rPr>
        <w:t>3、</w:t>
      </w:r>
      <w:r>
        <w:rPr>
          <w:rFonts w:hint="eastAsia" w:ascii="华文仿宋" w:hAnsi="华文仿宋" w:cs="华文仿宋"/>
          <w:color w:val="auto"/>
          <w:highlight w:val="none"/>
          <w:lang w:eastAsia="zh-CN"/>
        </w:rPr>
        <w:t>电子</w:t>
      </w:r>
      <w:r>
        <w:rPr>
          <w:rFonts w:hint="eastAsia" w:ascii="华文仿宋" w:hAnsi="华文仿宋" w:cs="华文仿宋"/>
          <w:color w:val="auto"/>
        </w:rPr>
        <w:t>响应文件提交截止时间后，供应商不得对其</w:t>
      </w:r>
      <w:r>
        <w:rPr>
          <w:rFonts w:hint="eastAsia" w:ascii="华文仿宋" w:hAnsi="华文仿宋" w:cs="华文仿宋"/>
          <w:color w:val="auto"/>
          <w:highlight w:val="none"/>
          <w:lang w:eastAsia="zh-CN"/>
        </w:rPr>
        <w:t>电子</w:t>
      </w:r>
      <w:r>
        <w:rPr>
          <w:rFonts w:hint="eastAsia" w:ascii="华文仿宋" w:hAnsi="华文仿宋" w:cs="华文仿宋"/>
          <w:color w:val="auto"/>
        </w:rPr>
        <w:t>响应文件做任何修改。</w:t>
      </w:r>
    </w:p>
    <w:p w14:paraId="6E9A4D92">
      <w:pPr>
        <w:spacing w:line="500" w:lineRule="exact"/>
        <w:ind w:firstLine="566" w:firstLineChars="200"/>
        <w:rPr>
          <w:rFonts w:ascii="华文仿宋" w:hAnsi="华文仿宋" w:cs="华文仿宋"/>
          <w:color w:val="auto"/>
        </w:rPr>
      </w:pPr>
      <w:r>
        <w:rPr>
          <w:rFonts w:hint="eastAsia" w:ascii="仿宋" w:hAnsi="仿宋" w:eastAsia="仿宋" w:cs="仿宋"/>
          <w:color w:val="auto"/>
        </w:rPr>
        <w:t>4、</w:t>
      </w:r>
      <w:r>
        <w:rPr>
          <w:rFonts w:hint="eastAsia" w:ascii="华文仿宋" w:hAnsi="华文仿宋" w:cs="华文仿宋"/>
          <w:color w:val="auto"/>
        </w:rPr>
        <w:t>供应商在提交</w:t>
      </w:r>
      <w:r>
        <w:rPr>
          <w:rFonts w:hint="eastAsia" w:ascii="华文仿宋" w:hAnsi="华文仿宋" w:cs="华文仿宋"/>
          <w:color w:val="auto"/>
          <w:highlight w:val="none"/>
          <w:lang w:eastAsia="zh-CN"/>
        </w:rPr>
        <w:t>电子</w:t>
      </w:r>
      <w:r>
        <w:rPr>
          <w:rFonts w:hint="eastAsia" w:ascii="华文仿宋" w:hAnsi="华文仿宋" w:cs="华文仿宋"/>
          <w:color w:val="auto"/>
        </w:rPr>
        <w:t>响应文件截止时间后撤回</w:t>
      </w:r>
      <w:r>
        <w:rPr>
          <w:rFonts w:hint="eastAsia" w:ascii="华文仿宋" w:hAnsi="华文仿宋" w:cs="华文仿宋"/>
          <w:color w:val="auto"/>
          <w:highlight w:val="none"/>
          <w:lang w:eastAsia="zh-CN"/>
        </w:rPr>
        <w:t>电子</w:t>
      </w:r>
      <w:r>
        <w:rPr>
          <w:rFonts w:hint="eastAsia" w:ascii="华文仿宋" w:hAnsi="华文仿宋" w:cs="华文仿宋"/>
          <w:color w:val="auto"/>
        </w:rPr>
        <w:t>响应文件的，磋商保证金不予退还。</w:t>
      </w:r>
    </w:p>
    <w:p w14:paraId="15387EBC">
      <w:pPr>
        <w:spacing w:line="500" w:lineRule="exact"/>
        <w:ind w:firstLine="566" w:firstLineChars="200"/>
        <w:rPr>
          <w:rFonts w:ascii="仿宋" w:hAnsi="仿宋" w:eastAsia="仿宋" w:cs="仿宋"/>
          <w:color w:val="auto"/>
        </w:rPr>
      </w:pPr>
      <w:r>
        <w:rPr>
          <w:rFonts w:hint="eastAsia" w:ascii="仿宋" w:hAnsi="仿宋" w:eastAsia="仿宋" w:cs="仿宋"/>
          <w:b/>
          <w:color w:val="auto"/>
        </w:rPr>
        <w:t>（五）供应商提交响应文件时，出现下列情况之一的，其响应文件将被拒绝接收：</w:t>
      </w:r>
    </w:p>
    <w:p w14:paraId="79CDCAA7">
      <w:pPr>
        <w:spacing w:line="500" w:lineRule="exact"/>
        <w:ind w:firstLine="566" w:firstLineChars="200"/>
        <w:rPr>
          <w:color w:val="auto"/>
        </w:rPr>
      </w:pPr>
      <w:r>
        <w:rPr>
          <w:rFonts w:hint="eastAsia"/>
          <w:color w:val="auto"/>
        </w:rPr>
        <w:t>1、逾期提交电子响应文件的；</w:t>
      </w:r>
    </w:p>
    <w:p w14:paraId="50C4F61B">
      <w:pPr>
        <w:spacing w:line="500" w:lineRule="exact"/>
        <w:ind w:firstLine="566" w:firstLineChars="200"/>
        <w:rPr>
          <w:color w:val="auto"/>
        </w:rPr>
      </w:pPr>
      <w:r>
        <w:rPr>
          <w:rFonts w:hint="eastAsia"/>
          <w:color w:val="auto"/>
        </w:rPr>
        <w:t>2、提交的响应文件与本项目不相符的。</w:t>
      </w:r>
    </w:p>
    <w:p w14:paraId="3853AB2F">
      <w:pPr>
        <w:pStyle w:val="5"/>
        <w:spacing w:line="500" w:lineRule="exact"/>
        <w:ind w:firstLine="566" w:firstLineChars="200"/>
        <w:rPr>
          <w:rFonts w:ascii="华文仿宋" w:hAnsi="华文仿宋" w:cs="华文仿宋"/>
          <w:color w:val="auto"/>
          <w:sz w:val="28"/>
          <w:szCs w:val="28"/>
        </w:rPr>
      </w:pPr>
      <w:bookmarkStart w:id="136" w:name="_Toc14846"/>
      <w:bookmarkStart w:id="137" w:name="_Toc10744"/>
      <w:bookmarkStart w:id="138" w:name="_Toc595"/>
      <w:bookmarkStart w:id="139" w:name="_Toc7343"/>
      <w:bookmarkStart w:id="140" w:name="_Toc6837"/>
      <w:bookmarkStart w:id="141" w:name="_Toc11977"/>
      <w:r>
        <w:rPr>
          <w:rFonts w:hint="eastAsia" w:ascii="华文仿宋" w:hAnsi="华文仿宋" w:cs="华文仿宋"/>
          <w:color w:val="auto"/>
          <w:sz w:val="28"/>
          <w:szCs w:val="28"/>
        </w:rPr>
        <w:t>七、组织开标</w:t>
      </w:r>
      <w:bookmarkEnd w:id="136"/>
      <w:bookmarkEnd w:id="137"/>
      <w:bookmarkEnd w:id="138"/>
      <w:bookmarkEnd w:id="139"/>
      <w:bookmarkEnd w:id="140"/>
      <w:bookmarkEnd w:id="141"/>
    </w:p>
    <w:p w14:paraId="1BEF58C9">
      <w:pPr>
        <w:spacing w:line="500" w:lineRule="exact"/>
        <w:ind w:firstLine="566" w:firstLineChars="200"/>
        <w:rPr>
          <w:color w:val="auto"/>
        </w:rPr>
      </w:pPr>
      <w:r>
        <w:rPr>
          <w:color w:val="auto"/>
        </w:rPr>
        <w:t>（一）</w:t>
      </w:r>
      <w:r>
        <w:rPr>
          <w:rFonts w:hint="eastAsia"/>
          <w:color w:val="auto"/>
        </w:rPr>
        <w:t>陕西省省级单位政府采购中心</w:t>
      </w:r>
      <w:r>
        <w:rPr>
          <w:color w:val="auto"/>
        </w:rPr>
        <w:t>组织</w:t>
      </w:r>
      <w:r>
        <w:rPr>
          <w:rFonts w:hint="eastAsia"/>
          <w:color w:val="auto"/>
        </w:rPr>
        <w:t>开标、评审</w:t>
      </w:r>
      <w:r>
        <w:rPr>
          <w:color w:val="auto"/>
        </w:rPr>
        <w:t>工作，整个过程受政府采购监管机构的监督、管理。</w:t>
      </w:r>
    </w:p>
    <w:p w14:paraId="3274EB33">
      <w:pPr>
        <w:wordWrap/>
        <w:spacing w:line="500" w:lineRule="exact"/>
        <w:ind w:firstLine="566" w:firstLineChars="200"/>
        <w:jc w:val="left"/>
        <w:rPr>
          <w:rFonts w:hint="eastAsia" w:cs="华文仿宋"/>
          <w:b/>
          <w:bCs/>
          <w:color w:val="558ED5" w:themeColor="text2" w:themeTint="99"/>
          <w14:textFill>
            <w14:solidFill>
              <w14:schemeClr w14:val="tx2">
                <w14:lumMod w14:val="60000"/>
                <w14:lumOff w14:val="40000"/>
              </w14:schemeClr>
            </w14:solidFill>
          </w14:textFill>
        </w:rPr>
      </w:pPr>
      <w:r>
        <w:rPr>
          <w:rFonts w:hint="eastAsia" w:cs="华文仿宋"/>
          <w:b/>
          <w:bCs/>
          <w:color w:val="000000" w:themeColor="text1"/>
          <w14:textFill>
            <w14:solidFill>
              <w14:schemeClr w14:val="tx1"/>
            </w14:solidFill>
          </w14:textFill>
        </w:rPr>
        <w:t>（二）陕西省省级单位政府采购中心在</w:t>
      </w:r>
      <w:r>
        <w:rPr>
          <w:rFonts w:hint="eastAsia" w:cs="华文仿宋"/>
          <w:b/>
          <w:bCs/>
          <w:color w:val="000000" w:themeColor="text1"/>
          <w:lang w:val="en-US" w:eastAsia="zh-CN"/>
          <w14:textFill>
            <w14:solidFill>
              <w14:schemeClr w14:val="tx1"/>
            </w14:solidFill>
          </w14:textFill>
        </w:rPr>
        <w:t>磋商</w:t>
      </w:r>
      <w:r>
        <w:rPr>
          <w:rFonts w:hint="eastAsia" w:cs="华文仿宋"/>
          <w:b/>
          <w:bCs/>
          <w:color w:val="000000" w:themeColor="text1"/>
          <w14:textFill>
            <w14:solidFill>
              <w14:schemeClr w14:val="tx1"/>
            </w14:solidFill>
          </w14:textFill>
        </w:rPr>
        <w:t>文件规定的时间和地点组织开标，供应商需在</w:t>
      </w:r>
      <w:r>
        <w:rPr>
          <w:rFonts w:hint="eastAsia" w:ascii="华文仿宋" w:hAnsi="华文仿宋" w:cs="华文仿宋"/>
          <w:b/>
          <w:bCs/>
          <w:color w:val="000000" w:themeColor="text1"/>
          <w14:textFill>
            <w14:solidFill>
              <w14:schemeClr w14:val="tx1"/>
            </w14:solidFill>
          </w14:textFill>
        </w:rPr>
        <w:t>开标前</w:t>
      </w:r>
      <w:r>
        <w:rPr>
          <w:rFonts w:hint="eastAsia" w:cs="华文仿宋"/>
          <w:b/>
          <w:bCs/>
          <w:color w:val="000000" w:themeColor="text1"/>
          <w14:textFill>
            <w14:solidFill>
              <w14:schemeClr w14:val="tx1"/>
            </w14:solidFill>
          </w14:textFill>
        </w:rPr>
        <w:t>登录全国公共资源交易平台（陕西省）</w:t>
      </w:r>
      <w:r>
        <w:rPr>
          <w:rFonts w:hint="eastAsia" w:cs="华文仿宋"/>
          <w:b/>
          <w:bCs/>
          <w:color w:val="000000" w:themeColor="text1"/>
          <w:lang w:eastAsia="zh-CN"/>
          <w14:textFill>
            <w14:solidFill>
              <w14:schemeClr w14:val="tx1"/>
            </w14:solidFill>
          </w14:textFill>
        </w:rPr>
        <w:t>首页</w:t>
      </w:r>
      <w:r>
        <w:rPr>
          <w:rFonts w:hint="eastAsia" w:cs="华文仿宋"/>
          <w:b/>
          <w:bCs/>
          <w:color w:val="000000" w:themeColor="text1"/>
          <w14:textFill>
            <w14:solidFill>
              <w14:schemeClr w14:val="tx1"/>
            </w14:solidFill>
          </w14:textFill>
        </w:rPr>
        <w:t>选择“不见面开标</w:t>
      </w:r>
      <w:r>
        <w:rPr>
          <w:rFonts w:hint="eastAsia" w:cs="华文仿宋"/>
          <w:b/>
          <w:bCs/>
          <w:color w:val="000000" w:themeColor="text1"/>
          <w:lang w:val="en-US" w:eastAsia="zh-CN"/>
          <w14:textFill>
            <w14:solidFill>
              <w14:schemeClr w14:val="tx1"/>
            </w14:solidFill>
          </w14:textFill>
        </w:rPr>
        <w:t>-陕西省本级</w:t>
      </w:r>
      <w:r>
        <w:rPr>
          <w:rFonts w:hint="eastAsia" w:cs="华文仿宋"/>
          <w:b/>
          <w:bCs/>
          <w:color w:val="000000" w:themeColor="text1"/>
          <w14:textFill>
            <w14:solidFill>
              <w14:schemeClr w14:val="tx1"/>
            </w14:solidFill>
          </w14:textFill>
        </w:rPr>
        <w:t>”，</w:t>
      </w:r>
      <w:r>
        <w:rPr>
          <w:rFonts w:hint="eastAsia" w:cs="华文仿宋"/>
          <w:b/>
          <w:bCs/>
          <w:color w:val="000000" w:themeColor="text1"/>
          <w:lang w:eastAsia="zh-CN"/>
          <w14:textFill>
            <w14:solidFill>
              <w14:schemeClr w14:val="tx1"/>
            </w14:solidFill>
          </w14:textFill>
        </w:rPr>
        <w:t>进行</w:t>
      </w:r>
      <w:r>
        <w:rPr>
          <w:rFonts w:hint="eastAsia" w:cs="华文仿宋"/>
          <w:b/>
          <w:bCs/>
          <w:color w:val="000000" w:themeColor="text1"/>
          <w:lang w:val="en-US" w:eastAsia="zh-CN"/>
          <w14:textFill>
            <w14:solidFill>
              <w14:schemeClr w14:val="tx1"/>
            </w14:solidFill>
          </w14:textFill>
        </w:rPr>
        <w:t>自行调试。开标时，按照工作人员要求进行</w:t>
      </w:r>
      <w:r>
        <w:rPr>
          <w:rFonts w:hint="eastAsia" w:ascii="华文仿宋" w:hAnsi="华文仿宋" w:cs="华文仿宋"/>
          <w:b/>
          <w:bCs/>
          <w:color w:val="000000" w:themeColor="text1"/>
          <w:sz w:val="28"/>
          <w:szCs w:val="28"/>
          <w:lang w:val="en-US" w:eastAsia="zh-CN"/>
          <w14:textFill>
            <w14:solidFill>
              <w14:schemeClr w14:val="tx1"/>
            </w14:solidFill>
          </w14:textFill>
        </w:rPr>
        <w:t>响应文件</w:t>
      </w:r>
      <w:r>
        <w:rPr>
          <w:rFonts w:hint="eastAsia" w:ascii="华文仿宋" w:hAnsi="华文仿宋" w:cs="华文仿宋"/>
          <w:b/>
          <w:bCs/>
          <w:color w:val="000000" w:themeColor="text1"/>
          <w:sz w:val="28"/>
          <w:szCs w:val="28"/>
          <w14:textFill>
            <w14:solidFill>
              <w14:schemeClr w14:val="tx1"/>
            </w14:solidFill>
          </w14:textFill>
        </w:rPr>
        <w:t>解密，远程观看开标直播。</w:t>
      </w:r>
      <w:r>
        <w:rPr>
          <w:rFonts w:hint="eastAsia" w:ascii="华文仿宋" w:hAnsi="华文仿宋" w:cs="华文仿宋"/>
          <w:b/>
          <w:bCs/>
          <w:color w:val="000000" w:themeColor="text1"/>
          <w:sz w:val="28"/>
          <w:szCs w:val="28"/>
          <w:lang w:val="en-US" w:eastAsia="zh-CN"/>
          <w14:textFill>
            <w14:solidFill>
              <w14:schemeClr w14:val="tx1"/>
            </w14:solidFill>
          </w14:textFill>
        </w:rPr>
        <w:t>并</w:t>
      </w:r>
      <w:r>
        <w:rPr>
          <w:rFonts w:hint="eastAsia" w:ascii="华文仿宋" w:hAnsi="华文仿宋" w:eastAsia="华文仿宋" w:cs="华文仿宋"/>
          <w:b/>
          <w:bCs/>
          <w:i w:val="0"/>
          <w:caps w:val="0"/>
          <w:color w:val="000000" w:themeColor="text1"/>
          <w:spacing w:val="0"/>
          <w:sz w:val="28"/>
          <w:szCs w:val="28"/>
          <w:shd w:val="clear" w:color="auto" w:fill="FFFFFF"/>
          <w:lang w:val="en-US" w:eastAsia="zh-CN"/>
          <w14:textFill>
            <w14:solidFill>
              <w14:schemeClr w14:val="tx1"/>
            </w14:solidFill>
          </w14:textFill>
        </w:rPr>
        <w:t>及时加入网络开标大厅公布</w:t>
      </w:r>
      <w:r>
        <w:rPr>
          <w:rFonts w:hint="eastAsia" w:ascii="华文仿宋" w:hAnsi="华文仿宋" w:eastAsia="华文仿宋" w:cs="华文仿宋"/>
          <w:b/>
          <w:bCs/>
          <w:i w:val="0"/>
          <w:caps w:val="0"/>
          <w:color w:val="000000"/>
          <w:spacing w:val="0"/>
          <w:sz w:val="28"/>
          <w:szCs w:val="28"/>
          <w:shd w:val="clear" w:color="auto" w:fill="FFFFFF"/>
          <w:lang w:val="en-US" w:eastAsia="zh-CN"/>
        </w:rPr>
        <w:t>的腾讯QQ群号，以便处理突发情况。</w:t>
      </w:r>
    </w:p>
    <w:p w14:paraId="264D459F">
      <w:pPr>
        <w:spacing w:line="500" w:lineRule="exact"/>
        <w:ind w:firstLine="566" w:firstLineChars="200"/>
        <w:rPr>
          <w:color w:val="auto"/>
          <w:highlight w:val="none"/>
        </w:rPr>
      </w:pPr>
      <w:r>
        <w:rPr>
          <w:rFonts w:hint="eastAsia"/>
          <w:color w:val="auto"/>
          <w:highlight w:val="none"/>
        </w:rPr>
        <w:t>投标供应商不足</w:t>
      </w:r>
      <w:r>
        <w:rPr>
          <w:rFonts w:hint="eastAsia" w:ascii="仿宋" w:hAnsi="仿宋" w:eastAsia="仿宋" w:cs="仿宋"/>
          <w:color w:val="auto"/>
          <w:highlight w:val="none"/>
        </w:rPr>
        <w:t>3</w:t>
      </w:r>
      <w:r>
        <w:rPr>
          <w:rFonts w:hint="eastAsia"/>
          <w:color w:val="auto"/>
          <w:highlight w:val="none"/>
        </w:rPr>
        <w:t>家的，不得开标。</w:t>
      </w:r>
    </w:p>
    <w:p w14:paraId="75F3ECDA">
      <w:pPr>
        <w:spacing w:line="500" w:lineRule="exact"/>
        <w:ind w:firstLine="566" w:firstLineChars="200"/>
        <w:rPr>
          <w:color w:val="auto"/>
          <w:highlight w:val="none"/>
        </w:rPr>
      </w:pPr>
      <w:r>
        <w:rPr>
          <w:color w:val="auto"/>
          <w:highlight w:val="none"/>
        </w:rPr>
        <w:t>（</w:t>
      </w:r>
      <w:r>
        <w:rPr>
          <w:rFonts w:hint="eastAsia"/>
          <w:color w:val="auto"/>
          <w:highlight w:val="none"/>
        </w:rPr>
        <w:t>三</w:t>
      </w:r>
      <w:r>
        <w:rPr>
          <w:color w:val="auto"/>
          <w:highlight w:val="none"/>
        </w:rPr>
        <w:t>）</w:t>
      </w:r>
      <w:r>
        <w:rPr>
          <w:rFonts w:hint="eastAsia"/>
          <w:color w:val="auto"/>
          <w:highlight w:val="none"/>
        </w:rPr>
        <w:t>开标过程由陕西省省级单位政府采购中心指定专人记录，由参加开标的相关工作人员签字确认后随采购文件一并存档。</w:t>
      </w:r>
    </w:p>
    <w:p w14:paraId="5AD01AC5">
      <w:pPr>
        <w:spacing w:line="500" w:lineRule="exact"/>
        <w:ind w:firstLine="566" w:firstLineChars="200"/>
        <w:rPr>
          <w:color w:val="auto"/>
          <w:highlight w:val="none"/>
        </w:rPr>
      </w:pPr>
      <w:r>
        <w:rPr>
          <w:rFonts w:hint="eastAsia"/>
          <w:color w:val="auto"/>
          <w:highlight w:val="none"/>
        </w:rPr>
        <w:t>（四）投标供应商对开标过程和开标记录有疑义，以及认为采购人、陕西省省级单位政府采购中心相关工作人员有需要回避情形的，应在网络开标大厅提出询问或回避申请，采购人、陕西省省级单位政府采购中心应当及时处理。</w:t>
      </w:r>
    </w:p>
    <w:p w14:paraId="0B0531A4">
      <w:pPr>
        <w:spacing w:line="500" w:lineRule="exact"/>
        <w:ind w:firstLine="566" w:firstLineChars="200"/>
        <w:rPr>
          <w:color w:val="auto"/>
          <w:highlight w:val="none"/>
        </w:rPr>
      </w:pPr>
      <w:r>
        <w:rPr>
          <w:rFonts w:hint="eastAsia"/>
          <w:color w:val="auto"/>
          <w:highlight w:val="none"/>
        </w:rPr>
        <w:t>（五）响应供应商未参加开标的，视同认可开标结果。</w:t>
      </w:r>
    </w:p>
    <w:p w14:paraId="12B5943D">
      <w:pPr>
        <w:spacing w:line="500" w:lineRule="exact"/>
        <w:ind w:firstLine="566" w:firstLineChars="200"/>
        <w:rPr>
          <w:color w:val="auto"/>
          <w:highlight w:val="none"/>
        </w:rPr>
      </w:pPr>
      <w:r>
        <w:rPr>
          <w:rFonts w:hint="eastAsia"/>
          <w:b/>
          <w:bCs/>
          <w:color w:val="auto"/>
          <w:highlight w:val="none"/>
        </w:rPr>
        <w:t>（六）在开标环节出现下列情况之一的，其</w:t>
      </w:r>
      <w:r>
        <w:rPr>
          <w:rFonts w:hint="eastAsia"/>
          <w:b/>
          <w:bCs/>
          <w:color w:val="auto"/>
          <w:highlight w:val="none"/>
          <w:lang w:val="en-US" w:eastAsia="zh-CN"/>
        </w:rPr>
        <w:t>响应</w:t>
      </w:r>
      <w:r>
        <w:rPr>
          <w:rFonts w:hint="eastAsia"/>
          <w:b/>
          <w:bCs/>
          <w:color w:val="auto"/>
          <w:highlight w:val="none"/>
        </w:rPr>
        <w:t>文件视为无效文件：</w:t>
      </w:r>
    </w:p>
    <w:p w14:paraId="213482BF">
      <w:pPr>
        <w:spacing w:line="500" w:lineRule="exact"/>
        <w:ind w:firstLine="283" w:firstLineChars="100"/>
        <w:rPr>
          <w:color w:val="auto"/>
          <w:highlight w:val="none"/>
        </w:rPr>
      </w:pPr>
      <w:r>
        <w:rPr>
          <w:rFonts w:hint="eastAsia"/>
          <w:color w:val="auto"/>
          <w:highlight w:val="none"/>
        </w:rPr>
        <w:t xml:space="preserve">  </w:t>
      </w:r>
      <w:r>
        <w:rPr>
          <w:rFonts w:hint="eastAsia" w:ascii="仿宋" w:hAnsi="仿宋" w:eastAsia="仿宋" w:cs="仿宋"/>
          <w:color w:val="auto"/>
          <w:highlight w:val="none"/>
        </w:rPr>
        <w:t>1</w:t>
      </w:r>
      <w:r>
        <w:rPr>
          <w:rFonts w:hint="eastAsia"/>
          <w:color w:val="auto"/>
          <w:highlight w:val="none"/>
        </w:rPr>
        <w:t>、供应商拒绝对电子响应文件进行解密的；</w:t>
      </w:r>
    </w:p>
    <w:p w14:paraId="76DACAB2">
      <w:pPr>
        <w:spacing w:line="500" w:lineRule="exact"/>
        <w:ind w:firstLine="283" w:firstLineChars="100"/>
        <w:rPr>
          <w:color w:val="000000" w:themeColor="text1"/>
          <w:highlight w:val="none"/>
          <w14:textFill>
            <w14:solidFill>
              <w14:schemeClr w14:val="tx1"/>
            </w14:solidFill>
          </w14:textFill>
        </w:rPr>
      </w:pPr>
      <w:r>
        <w:rPr>
          <w:rFonts w:hint="eastAsia"/>
          <w:color w:val="auto"/>
          <w:highlight w:val="none"/>
        </w:rPr>
        <w:t xml:space="preserve">  </w:t>
      </w:r>
      <w:r>
        <w:rPr>
          <w:rFonts w:hint="eastAsia" w:ascii="仿宋" w:hAnsi="仿宋" w:eastAsia="仿宋" w:cs="仿宋"/>
          <w:color w:val="auto"/>
          <w:highlight w:val="none"/>
        </w:rPr>
        <w:t>2</w:t>
      </w:r>
      <w:r>
        <w:rPr>
          <w:rFonts w:hint="eastAsia"/>
          <w:color w:val="auto"/>
          <w:highlight w:val="none"/>
        </w:rPr>
        <w:t>、因供应商自身原因</w:t>
      </w:r>
      <w:r>
        <w:rPr>
          <w:rFonts w:hint="eastAsia"/>
          <w:color w:val="000000" w:themeColor="text1"/>
          <w:highlight w:val="none"/>
          <w14:textFill>
            <w14:solidFill>
              <w14:schemeClr w14:val="tx1"/>
            </w14:solidFill>
          </w14:textFill>
        </w:rPr>
        <w:t>（</w:t>
      </w:r>
      <w:r>
        <w:rPr>
          <w:rFonts w:hint="eastAsia" w:ascii="华文仿宋" w:hAnsi="华文仿宋" w:cs="华文仿宋"/>
          <w:color w:val="000000" w:themeColor="text1"/>
          <w:lang w:val="en-US" w:eastAsia="zh-CN"/>
          <w14:textFill>
            <w14:solidFill>
              <w14:schemeClr w14:val="tx1"/>
            </w14:solidFill>
          </w14:textFill>
        </w:rPr>
        <w:t>如解密时使用的CA锁与制作电子响应文件使用的CA锁不一致、或沿用旧版磋商文件编制响应文件等情形</w:t>
      </w:r>
      <w:r>
        <w:rPr>
          <w:rFonts w:hint="eastAsia"/>
          <w:color w:val="000000" w:themeColor="text1"/>
          <w:highlight w:val="none"/>
          <w14:textFill>
            <w14:solidFill>
              <w14:schemeClr w14:val="tx1"/>
            </w14:solidFill>
          </w14:textFill>
        </w:rPr>
        <w:t>），导致在规定时间内无法解密响应文件的；</w:t>
      </w:r>
    </w:p>
    <w:p w14:paraId="688C8DA8">
      <w:pPr>
        <w:spacing w:line="500" w:lineRule="exact"/>
        <w:ind w:firstLine="283" w:firstLineChars="100"/>
        <w:rPr>
          <w:color w:val="auto"/>
          <w:highlight w:val="none"/>
        </w:rPr>
      </w:pPr>
      <w:r>
        <w:rPr>
          <w:rFonts w:hint="eastAsia"/>
          <w:color w:val="auto"/>
          <w:highlight w:val="none"/>
        </w:rPr>
        <w:t xml:space="preserve">  </w:t>
      </w:r>
      <w:r>
        <w:rPr>
          <w:rFonts w:hint="eastAsia" w:ascii="仿宋" w:hAnsi="仿宋" w:eastAsia="仿宋" w:cs="仿宋"/>
          <w:color w:val="auto"/>
          <w:highlight w:val="none"/>
        </w:rPr>
        <w:t>3</w:t>
      </w:r>
      <w:r>
        <w:rPr>
          <w:rFonts w:hint="eastAsia"/>
          <w:color w:val="auto"/>
          <w:highlight w:val="none"/>
        </w:rPr>
        <w:t>、上传的电子响应文件无法打开的；</w:t>
      </w:r>
    </w:p>
    <w:p w14:paraId="58F64B85">
      <w:pPr>
        <w:spacing w:line="500" w:lineRule="exact"/>
        <w:ind w:firstLine="283" w:firstLineChars="100"/>
        <w:rPr>
          <w:rFonts w:hint="eastAsia"/>
          <w:color w:val="auto"/>
          <w:highlight w:val="none"/>
        </w:rPr>
      </w:pPr>
      <w:r>
        <w:rPr>
          <w:rFonts w:hint="eastAsia"/>
          <w:color w:val="auto"/>
          <w:highlight w:val="none"/>
        </w:rPr>
        <w:t xml:space="preserve"> </w:t>
      </w:r>
      <w:r>
        <w:rPr>
          <w:rFonts w:hint="eastAsia" w:ascii="仿宋" w:hAnsi="仿宋" w:eastAsia="仿宋" w:cs="仿宋"/>
          <w:color w:val="auto"/>
          <w:highlight w:val="none"/>
        </w:rPr>
        <w:t xml:space="preserve"> 4</w:t>
      </w:r>
      <w:r>
        <w:rPr>
          <w:rFonts w:hint="eastAsia"/>
          <w:color w:val="auto"/>
          <w:highlight w:val="none"/>
        </w:rPr>
        <w:t>、政府采购法律法规规定的其他无效情形。</w:t>
      </w:r>
    </w:p>
    <w:p w14:paraId="5B2F620A">
      <w:pPr>
        <w:spacing w:line="500" w:lineRule="exact"/>
        <w:ind w:firstLine="566" w:firstLineChars="200"/>
        <w:rPr>
          <w:rFonts w:ascii="仿宋" w:hAnsi="仿宋" w:eastAsia="仿宋" w:cs="Times New Roman"/>
          <w:b/>
          <w:bCs/>
        </w:rPr>
      </w:pPr>
      <w:r>
        <w:rPr>
          <w:rFonts w:ascii="华文仿宋" w:hAnsi="华文仿宋" w:cs="华文仿宋"/>
        </w:rPr>
        <w:t xml:space="preserve"> </w:t>
      </w:r>
      <w:r>
        <w:rPr>
          <w:rFonts w:hint="eastAsia" w:ascii="仿宋" w:hAnsi="仿宋" w:eastAsia="仿宋" w:cs="仿宋"/>
          <w:b/>
          <w:bCs/>
        </w:rPr>
        <w:t>（</w:t>
      </w:r>
      <w:r>
        <w:rPr>
          <w:rFonts w:hint="eastAsia" w:ascii="仿宋" w:hAnsi="仿宋" w:eastAsia="仿宋" w:cs="仿宋"/>
          <w:b/>
          <w:bCs/>
          <w:lang w:eastAsia="zh-CN"/>
        </w:rPr>
        <w:t>七</w:t>
      </w:r>
      <w:r>
        <w:rPr>
          <w:rFonts w:hint="eastAsia" w:ascii="仿宋" w:hAnsi="仿宋" w:eastAsia="仿宋" w:cs="仿宋"/>
          <w:b/>
          <w:bCs/>
        </w:rPr>
        <w:t>）特殊情形下的应急处置</w:t>
      </w:r>
    </w:p>
    <w:p w14:paraId="59D75B44">
      <w:pPr>
        <w:spacing w:line="500" w:lineRule="exact"/>
        <w:ind w:firstLine="566" w:firstLineChars="200"/>
        <w:rPr>
          <w:rFonts w:ascii="仿宋" w:hAnsi="仿宋" w:eastAsia="仿宋" w:cs="Times New Roman"/>
        </w:rPr>
      </w:pPr>
      <w:r>
        <w:rPr>
          <w:rFonts w:hint="eastAsia" w:ascii="仿宋" w:hAnsi="仿宋" w:eastAsia="仿宋" w:cs="仿宋"/>
        </w:rPr>
        <w:t>在开标、评审过程中，如因停电、断网、电子化系统故障等特殊原因导致电子化开、评审无法正常进行时，将视文件解密情况特殊处理。</w:t>
      </w:r>
    </w:p>
    <w:p w14:paraId="499267C8">
      <w:pPr>
        <w:pStyle w:val="3"/>
        <w:spacing w:afterLines="0" w:line="500" w:lineRule="exact"/>
        <w:ind w:firstLine="566" w:firstLineChars="200"/>
        <w:rPr>
          <w:rFonts w:ascii="华文仿宋" w:cs="Times New Roman"/>
          <w:color w:val="auto"/>
          <w:sz w:val="28"/>
          <w:szCs w:val="28"/>
        </w:rPr>
      </w:pPr>
      <w:r>
        <w:rPr>
          <w:rFonts w:ascii="华文仿宋" w:hAnsi="华文仿宋" w:cs="华文仿宋"/>
          <w:color w:val="auto"/>
          <w:sz w:val="28"/>
          <w:szCs w:val="28"/>
        </w:rPr>
        <w:t>1</w:t>
      </w:r>
      <w:r>
        <w:rPr>
          <w:rFonts w:hint="eastAsia" w:ascii="华文仿宋" w:hAnsi="华文仿宋" w:cs="华文仿宋"/>
          <w:color w:val="auto"/>
          <w:sz w:val="28"/>
          <w:szCs w:val="28"/>
        </w:rPr>
        <w:t>、开标时文件未解密的，将另行确定时间继续完成开标程序；</w:t>
      </w:r>
    </w:p>
    <w:p w14:paraId="2956EC59">
      <w:pPr>
        <w:spacing w:line="500" w:lineRule="exact"/>
        <w:ind w:firstLine="566" w:firstLineChars="200"/>
        <w:rPr>
          <w:rFonts w:ascii="华文仿宋" w:cs="Times New Roman"/>
        </w:rPr>
      </w:pPr>
      <w:r>
        <w:rPr>
          <w:rFonts w:ascii="华文仿宋" w:hAnsi="华文仿宋" w:cs="华文仿宋"/>
        </w:rPr>
        <w:t>2</w:t>
      </w:r>
      <w:r>
        <w:rPr>
          <w:rFonts w:hint="eastAsia" w:ascii="华文仿宋" w:hAnsi="华文仿宋" w:cs="华文仿宋"/>
        </w:rPr>
        <w:t>、开标后文件已解密但评审结论未形成的，将发布废标公告，重新组织采购活动；</w:t>
      </w:r>
    </w:p>
    <w:p w14:paraId="1B97E213">
      <w:pPr>
        <w:pStyle w:val="9"/>
        <w:rPr>
          <w:rFonts w:hint="eastAsia" w:eastAsia="华文仿宋"/>
          <w:lang w:eastAsia="zh-CN"/>
        </w:rPr>
      </w:pPr>
      <w:r>
        <w:rPr>
          <w:rFonts w:ascii="华文仿宋" w:hAnsi="华文仿宋" w:cs="华文仿宋"/>
          <w:color w:val="auto"/>
          <w:sz w:val="28"/>
          <w:szCs w:val="28"/>
        </w:rPr>
        <w:t xml:space="preserve">  3</w:t>
      </w:r>
      <w:r>
        <w:rPr>
          <w:rFonts w:hint="eastAsia" w:ascii="华文仿宋" w:hAnsi="华文仿宋" w:cs="华文仿宋"/>
          <w:color w:val="auto"/>
          <w:sz w:val="28"/>
          <w:szCs w:val="28"/>
        </w:rPr>
        <w:t>、开标后文件已解密且评审结论已形成的，待特殊情况排除后，继续完成评审活动</w:t>
      </w:r>
      <w:r>
        <w:rPr>
          <w:rFonts w:hint="eastAsia" w:ascii="华文仿宋" w:hAnsi="华文仿宋" w:cs="华文仿宋"/>
          <w:color w:val="auto"/>
          <w:sz w:val="28"/>
          <w:szCs w:val="28"/>
          <w:lang w:eastAsia="zh-CN"/>
        </w:rPr>
        <w:t>。</w:t>
      </w:r>
    </w:p>
    <w:p w14:paraId="509DE4B3">
      <w:pPr>
        <w:pStyle w:val="5"/>
        <w:spacing w:line="500" w:lineRule="exact"/>
        <w:ind w:firstLine="566" w:firstLineChars="200"/>
        <w:rPr>
          <w:color w:val="auto"/>
          <w:sz w:val="28"/>
          <w:szCs w:val="28"/>
        </w:rPr>
      </w:pPr>
      <w:bookmarkStart w:id="142" w:name="_Toc12372"/>
      <w:bookmarkStart w:id="143" w:name="_Toc14871"/>
      <w:bookmarkStart w:id="144" w:name="_Toc18322"/>
      <w:r>
        <w:rPr>
          <w:rFonts w:hint="eastAsia"/>
          <w:color w:val="auto"/>
          <w:sz w:val="28"/>
          <w:szCs w:val="28"/>
        </w:rPr>
        <w:t>八、组织评审</w:t>
      </w:r>
      <w:bookmarkEnd w:id="130"/>
      <w:bookmarkEnd w:id="131"/>
      <w:bookmarkEnd w:id="132"/>
      <w:bookmarkEnd w:id="142"/>
      <w:bookmarkEnd w:id="143"/>
      <w:bookmarkEnd w:id="144"/>
    </w:p>
    <w:p w14:paraId="4150E388">
      <w:pPr>
        <w:pStyle w:val="21"/>
        <w:spacing w:beforeAutospacing="0" w:afterAutospacing="0" w:line="500" w:lineRule="exact"/>
        <w:ind w:firstLine="420"/>
        <w:rPr>
          <w:rFonts w:ascii="仿宋" w:hAnsi="仿宋" w:eastAsia="仿宋" w:cs="仿宋"/>
          <w:b/>
          <w:bCs/>
          <w:color w:val="auto"/>
          <w:sz w:val="28"/>
        </w:rPr>
      </w:pPr>
      <w:bookmarkStart w:id="145" w:name="_Toc3816_WPSOffice_Level3"/>
      <w:r>
        <w:rPr>
          <w:rFonts w:hint="eastAsia" w:ascii="仿宋" w:hAnsi="仿宋" w:eastAsia="仿宋" w:cs="仿宋"/>
          <w:b/>
          <w:bCs/>
          <w:color w:val="auto"/>
          <w:sz w:val="28"/>
          <w:shd w:val="clear" w:color="auto" w:fill="FFFFFF"/>
        </w:rPr>
        <w:t>（一）采购代理机构负责组织评审工作，并履行下列职责：</w:t>
      </w:r>
      <w:bookmarkEnd w:id="145"/>
    </w:p>
    <w:p w14:paraId="72E64B5E">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1、核对评审专家身份和采购人代表授权函，对评审专家在政府采购活动中的职责履行情况予以记录，并及时将有关违法违规行为向财政部门报告;</w:t>
      </w:r>
    </w:p>
    <w:p w14:paraId="07D7B3CC">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2、宣布评审纪律;</w:t>
      </w:r>
    </w:p>
    <w:p w14:paraId="36EFC1FC">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3、公布投标人名单，告知评审专家应当回避的情形;</w:t>
      </w:r>
    </w:p>
    <w:p w14:paraId="585E3E9C">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4、组织磋商</w:t>
      </w:r>
      <w:r>
        <w:rPr>
          <w:rFonts w:ascii="仿宋" w:hAnsi="仿宋" w:eastAsia="仿宋" w:cs="仿宋"/>
          <w:color w:val="auto"/>
          <w:sz w:val="28"/>
          <w:shd w:val="clear" w:color="auto" w:fill="FFFFFF"/>
        </w:rPr>
        <w:t>小组</w:t>
      </w:r>
      <w:r>
        <w:rPr>
          <w:rFonts w:hint="eastAsia" w:ascii="仿宋" w:hAnsi="仿宋" w:eastAsia="仿宋" w:cs="仿宋"/>
          <w:color w:val="auto"/>
          <w:sz w:val="28"/>
          <w:shd w:val="clear" w:color="auto" w:fill="FFFFFF"/>
        </w:rPr>
        <w:t>推选评审组长，采购人代表不得担任组长;</w:t>
      </w:r>
    </w:p>
    <w:p w14:paraId="16FFDDCB">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5、在评审期间采取必要的通讯管理措施，保证评审活动不受外界干扰;</w:t>
      </w:r>
    </w:p>
    <w:p w14:paraId="4080C719">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6、根据磋商</w:t>
      </w:r>
      <w:r>
        <w:rPr>
          <w:rFonts w:ascii="仿宋" w:hAnsi="仿宋" w:eastAsia="仿宋" w:cs="仿宋"/>
          <w:color w:val="auto"/>
          <w:sz w:val="28"/>
          <w:shd w:val="clear" w:color="auto" w:fill="FFFFFF"/>
        </w:rPr>
        <w:t>小组</w:t>
      </w:r>
      <w:r>
        <w:rPr>
          <w:rFonts w:hint="eastAsia" w:ascii="仿宋" w:hAnsi="仿宋" w:eastAsia="仿宋" w:cs="仿宋"/>
          <w:color w:val="auto"/>
          <w:sz w:val="28"/>
          <w:shd w:val="clear" w:color="auto" w:fill="FFFFFF"/>
        </w:rPr>
        <w:t>的要求介绍政府采购相关政策法规、磋商文件;</w:t>
      </w:r>
    </w:p>
    <w:p w14:paraId="0536F886">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7、维护评审秩序，监督磋商</w:t>
      </w:r>
      <w:r>
        <w:rPr>
          <w:rFonts w:ascii="仿宋" w:hAnsi="仿宋" w:eastAsia="仿宋" w:cs="仿宋"/>
          <w:color w:val="auto"/>
          <w:sz w:val="28"/>
          <w:shd w:val="clear" w:color="auto" w:fill="FFFFFF"/>
        </w:rPr>
        <w:t>小组</w:t>
      </w:r>
      <w:r>
        <w:rPr>
          <w:rFonts w:hint="eastAsia" w:ascii="仿宋" w:hAnsi="仿宋" w:eastAsia="仿宋" w:cs="仿宋"/>
          <w:color w:val="auto"/>
          <w:sz w:val="28"/>
          <w:shd w:val="clear" w:color="auto" w:fill="FFFFFF"/>
        </w:rPr>
        <w:t>依照磋商文件规定的评审程序、方法和标准进行独立评审，及时制止和纠正采购人代表、评审专家的倾向性言论或者违法违规行为;</w:t>
      </w:r>
    </w:p>
    <w:p w14:paraId="385BB6EB">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8、核对评审结果;</w:t>
      </w:r>
    </w:p>
    <w:p w14:paraId="4F073634">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9、评审工作完成后，按照规定向评审专家支付劳务报酬和异地评审差旅费，不得向评审专家以外的其他人员支付评审劳务报酬;</w:t>
      </w:r>
    </w:p>
    <w:p w14:paraId="2D765C3A">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10、处理与评审有关的其他事项。</w:t>
      </w:r>
    </w:p>
    <w:p w14:paraId="7DF8116C">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采购人可以在评审前说明项目背景和采购需求，说明内容不得含有歧视性、倾向性意见，不得超出磋商文件所述范围。说明应当提交书面材料，并随采购文件一并存档。</w:t>
      </w:r>
    </w:p>
    <w:p w14:paraId="3C062828">
      <w:pPr>
        <w:pStyle w:val="21"/>
        <w:spacing w:beforeAutospacing="0" w:afterAutospacing="0" w:line="500" w:lineRule="exact"/>
        <w:ind w:firstLine="420"/>
        <w:rPr>
          <w:rFonts w:ascii="仿宋" w:hAnsi="仿宋" w:eastAsia="仿宋" w:cs="仿宋"/>
          <w:b/>
          <w:bCs/>
          <w:color w:val="auto"/>
          <w:sz w:val="28"/>
        </w:rPr>
      </w:pPr>
      <w:bookmarkStart w:id="146" w:name="_Toc3147_WPSOffice_Level3"/>
      <w:r>
        <w:rPr>
          <w:rFonts w:hint="eastAsia" w:ascii="仿宋" w:hAnsi="仿宋" w:eastAsia="仿宋" w:cs="仿宋"/>
          <w:b/>
          <w:bCs/>
          <w:color w:val="auto"/>
          <w:sz w:val="28"/>
          <w:shd w:val="clear" w:color="auto" w:fill="FFFFFF"/>
        </w:rPr>
        <w:t>（二）磋商小组负责具体评审事务，并独立履行下列职责：</w:t>
      </w:r>
      <w:bookmarkEnd w:id="146"/>
    </w:p>
    <w:p w14:paraId="4ECCB1F6">
      <w:pPr>
        <w:pStyle w:val="21"/>
        <w:spacing w:beforeAutospacing="0" w:afterAutospacing="0" w:line="500" w:lineRule="exact"/>
        <w:ind w:firstLine="566" w:firstLineChars="200"/>
        <w:rPr>
          <w:rFonts w:ascii="仿宋" w:hAnsi="仿宋" w:eastAsia="仿宋" w:cs="仿宋"/>
          <w:color w:val="auto"/>
          <w:sz w:val="28"/>
          <w:shd w:val="clear" w:color="auto" w:fill="FFFFFF"/>
        </w:rPr>
      </w:pPr>
      <w:r>
        <w:rPr>
          <w:rFonts w:hint="eastAsia" w:ascii="仿宋" w:hAnsi="仿宋" w:eastAsia="仿宋" w:cs="仿宋"/>
          <w:color w:val="auto"/>
          <w:sz w:val="28"/>
          <w:shd w:val="clear" w:color="auto" w:fill="FFFFFF"/>
        </w:rPr>
        <w:t>1、严格遵守评审工作纪律,按照客观、公正、审慎的原则,根据磋商文件规定的评审程序、评审方法和评审标准进行独立评审；</w:t>
      </w:r>
    </w:p>
    <w:p w14:paraId="2DE7B6BC">
      <w:pPr>
        <w:pStyle w:val="21"/>
        <w:spacing w:beforeAutospacing="0" w:afterAutospacing="0" w:line="500" w:lineRule="exact"/>
        <w:ind w:firstLine="566" w:firstLineChars="200"/>
        <w:rPr>
          <w:rFonts w:ascii="仿宋" w:hAnsi="仿宋" w:eastAsia="仿宋" w:cs="仿宋"/>
          <w:color w:val="auto"/>
          <w:sz w:val="28"/>
          <w:shd w:val="clear" w:color="auto" w:fill="FFFFFF"/>
        </w:rPr>
      </w:pPr>
      <w:r>
        <w:rPr>
          <w:rFonts w:hint="eastAsia" w:ascii="仿宋" w:hAnsi="仿宋" w:eastAsia="仿宋" w:cs="仿宋"/>
          <w:color w:val="auto"/>
          <w:sz w:val="28"/>
          <w:shd w:val="clear" w:color="auto" w:fill="FFFFFF"/>
        </w:rPr>
        <w:t>2、要求投标人对响应文件有关事项做出澄清或者说明；</w:t>
      </w:r>
    </w:p>
    <w:p w14:paraId="7B142A4B">
      <w:pPr>
        <w:pStyle w:val="21"/>
        <w:spacing w:beforeAutospacing="0" w:afterAutospacing="0" w:line="500" w:lineRule="exact"/>
        <w:ind w:firstLine="566" w:firstLineChars="200"/>
        <w:rPr>
          <w:rFonts w:ascii="仿宋" w:hAnsi="仿宋" w:eastAsia="仿宋" w:cs="仿宋"/>
          <w:color w:val="auto"/>
          <w:sz w:val="28"/>
          <w:shd w:val="clear" w:color="auto" w:fill="FFFFFF"/>
        </w:rPr>
      </w:pPr>
      <w:r>
        <w:rPr>
          <w:rFonts w:hint="eastAsia" w:ascii="仿宋" w:hAnsi="仿宋" w:eastAsia="仿宋" w:cs="仿宋"/>
          <w:color w:val="auto"/>
          <w:sz w:val="28"/>
          <w:shd w:val="clear" w:color="auto" w:fill="FFFFFF"/>
        </w:rPr>
        <w:t>3、对响应文件进行比较和评价；</w:t>
      </w:r>
    </w:p>
    <w:p w14:paraId="15A63983">
      <w:pPr>
        <w:pStyle w:val="21"/>
        <w:spacing w:beforeAutospacing="0" w:afterAutospacing="0" w:line="500" w:lineRule="exact"/>
        <w:ind w:firstLine="566" w:firstLineChars="200"/>
        <w:rPr>
          <w:rFonts w:ascii="仿宋" w:hAnsi="仿宋" w:eastAsia="仿宋" w:cs="仿宋"/>
          <w:color w:val="auto"/>
          <w:sz w:val="28"/>
          <w:shd w:val="clear" w:color="auto" w:fill="FFFFFF"/>
        </w:rPr>
      </w:pPr>
      <w:r>
        <w:rPr>
          <w:rFonts w:hint="eastAsia" w:ascii="仿宋" w:hAnsi="仿宋" w:eastAsia="仿宋" w:cs="仿宋"/>
          <w:color w:val="auto"/>
          <w:sz w:val="28"/>
          <w:shd w:val="clear" w:color="auto" w:fill="FFFFFF"/>
        </w:rPr>
        <w:t>4、确定成交候选人名单，以及根据采购人委托直接确定成交供应商；</w:t>
      </w:r>
    </w:p>
    <w:p w14:paraId="1A588F23">
      <w:pPr>
        <w:pStyle w:val="21"/>
        <w:spacing w:beforeAutospacing="0" w:afterAutospacing="0" w:line="500" w:lineRule="exact"/>
        <w:ind w:firstLine="566" w:firstLineChars="200"/>
        <w:rPr>
          <w:rFonts w:ascii="仿宋" w:hAnsi="仿宋" w:eastAsia="仿宋" w:cs="仿宋"/>
          <w:color w:val="auto"/>
          <w:sz w:val="28"/>
          <w:shd w:val="clear" w:color="auto" w:fill="FFFFFF"/>
        </w:rPr>
      </w:pPr>
      <w:r>
        <w:rPr>
          <w:rFonts w:hint="eastAsia" w:ascii="仿宋" w:hAnsi="仿宋" w:eastAsia="仿宋" w:cs="仿宋"/>
          <w:color w:val="auto"/>
          <w:sz w:val="28"/>
          <w:shd w:val="clear" w:color="auto" w:fill="FFFFFF"/>
        </w:rPr>
        <w:t>5、配合答复供应商的询问、质疑和投诉等事项,不得泄露评审文件、评审情况和在评审过程中获悉的商业秘密；</w:t>
      </w:r>
    </w:p>
    <w:p w14:paraId="6DCBEF53">
      <w:pPr>
        <w:pStyle w:val="21"/>
        <w:spacing w:beforeAutospacing="0" w:afterAutospacing="0" w:line="500" w:lineRule="exact"/>
        <w:ind w:firstLine="566" w:firstLineChars="200"/>
        <w:rPr>
          <w:rFonts w:ascii="仿宋" w:hAnsi="仿宋" w:eastAsia="仿宋" w:cs="仿宋"/>
          <w:color w:val="auto"/>
          <w:sz w:val="28"/>
        </w:rPr>
      </w:pPr>
      <w:r>
        <w:rPr>
          <w:rFonts w:hint="eastAsia" w:ascii="仿宋" w:hAnsi="仿宋" w:eastAsia="仿宋" w:cs="仿宋"/>
          <w:color w:val="auto"/>
          <w:sz w:val="28"/>
          <w:shd w:val="clear" w:color="auto" w:fill="FFFFFF"/>
        </w:rPr>
        <w:t>6、向采购人、采购代理机构或者有关部门报告评审中发现的违法行为。</w:t>
      </w:r>
    </w:p>
    <w:p w14:paraId="0A65E429">
      <w:pPr>
        <w:spacing w:line="500" w:lineRule="exact"/>
        <w:ind w:firstLine="566" w:firstLineChars="200"/>
        <w:rPr>
          <w:rFonts w:ascii="华文仿宋" w:hAnsi="华文仿宋" w:cs="华文仿宋"/>
          <w:b/>
          <w:bCs/>
          <w:color w:val="auto"/>
        </w:rPr>
      </w:pPr>
      <w:bookmarkStart w:id="147" w:name="_Toc8872_WPSOffice_Level3"/>
      <w:r>
        <w:rPr>
          <w:rFonts w:hint="eastAsia" w:ascii="华文仿宋" w:hAnsi="华文仿宋" w:cs="华文仿宋"/>
          <w:b/>
          <w:bCs/>
          <w:color w:val="auto"/>
        </w:rPr>
        <w:t>（三）成立磋商小组</w:t>
      </w:r>
      <w:bookmarkEnd w:id="147"/>
    </w:p>
    <w:p w14:paraId="4B77E610">
      <w:pPr>
        <w:spacing w:line="500" w:lineRule="exact"/>
        <w:ind w:firstLine="566" w:firstLineChars="200"/>
        <w:rPr>
          <w:rFonts w:ascii="华文仿宋" w:hAnsi="华文仿宋" w:cs="华文仿宋"/>
          <w:color w:val="auto"/>
        </w:rPr>
      </w:pPr>
      <w:r>
        <w:rPr>
          <w:rFonts w:hint="eastAsia" w:ascii="仿宋" w:hAnsi="仿宋" w:eastAsia="仿宋" w:cs="仿宋"/>
          <w:color w:val="auto"/>
        </w:rPr>
        <w:t>1</w:t>
      </w:r>
      <w:r>
        <w:rPr>
          <w:rFonts w:hint="eastAsia" w:ascii="华文仿宋" w:hAnsi="华文仿宋" w:cs="华文仿宋"/>
          <w:color w:val="auto"/>
        </w:rPr>
        <w:t>、为了确保磋商工作的公平、公正，依据政府采购法和政府采购相关法规、规章，成立磋商小组，磋商小组由采购人代表和评审专家共3人以上单数组成，其中评审专家人数不少于磋商小组成员总数的三分之二。</w:t>
      </w:r>
    </w:p>
    <w:p w14:paraId="048FB317">
      <w:pPr>
        <w:spacing w:line="500" w:lineRule="exact"/>
        <w:ind w:firstLine="566" w:firstLineChars="200"/>
        <w:rPr>
          <w:rFonts w:ascii="Calibri" w:hAnsi="Calibri"/>
          <w:color w:val="auto"/>
        </w:rPr>
      </w:pPr>
      <w:r>
        <w:rPr>
          <w:rFonts w:hint="eastAsia" w:ascii="Calibri" w:hAnsi="Calibri"/>
          <w:color w:val="auto"/>
        </w:rPr>
        <w:t>评审专家对本单位的采购项目只能作为采购人代表参与评审。采购代理机构工作人员不得参加由本机构代理的政府采购项目的评审。</w:t>
      </w:r>
    </w:p>
    <w:p w14:paraId="7360A3BA">
      <w:pPr>
        <w:spacing w:line="500" w:lineRule="exact"/>
        <w:ind w:firstLine="566" w:firstLineChars="200"/>
        <w:rPr>
          <w:rFonts w:ascii="华文仿宋" w:hAnsi="华文仿宋" w:cs="华文仿宋"/>
          <w:color w:val="auto"/>
        </w:rPr>
      </w:pPr>
      <w:r>
        <w:rPr>
          <w:rFonts w:hint="eastAsia" w:ascii="Calibri" w:hAnsi="Calibri"/>
          <w:color w:val="auto"/>
        </w:rPr>
        <w:t>磋商小组</w:t>
      </w:r>
      <w:r>
        <w:rPr>
          <w:rFonts w:ascii="Calibri" w:hAnsi="Calibri"/>
          <w:color w:val="auto"/>
        </w:rPr>
        <w:t>成员</w:t>
      </w:r>
      <w:r>
        <w:rPr>
          <w:rFonts w:hint="eastAsia" w:ascii="Calibri" w:hAnsi="Calibri"/>
          <w:color w:val="auto"/>
        </w:rPr>
        <w:t>名单在评审结果公告前应当保密。</w:t>
      </w:r>
    </w:p>
    <w:p w14:paraId="41B37E40">
      <w:pPr>
        <w:spacing w:line="500" w:lineRule="exact"/>
        <w:ind w:firstLine="566" w:firstLineChars="200"/>
        <w:rPr>
          <w:rFonts w:ascii="华文仿宋" w:hAnsi="华文仿宋" w:cs="华文仿宋"/>
          <w:color w:val="auto"/>
        </w:rPr>
      </w:pPr>
      <w:r>
        <w:rPr>
          <w:rFonts w:hint="eastAsia" w:ascii="仿宋" w:hAnsi="仿宋" w:eastAsia="仿宋" w:cs="仿宋"/>
          <w:color w:val="auto"/>
        </w:rPr>
        <w:t>2</w:t>
      </w:r>
      <w:r>
        <w:rPr>
          <w:rFonts w:hint="eastAsia" w:ascii="华文仿宋" w:hAnsi="华文仿宋" w:cs="华文仿宋"/>
          <w:color w:val="auto"/>
        </w:rPr>
        <w:t>、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w:t>
      </w:r>
      <w:r>
        <w:rPr>
          <w:rFonts w:hint="eastAsia" w:ascii="仿宋" w:hAnsi="仿宋" w:eastAsia="仿宋" w:cs="仿宋"/>
          <w:color w:val="auto"/>
        </w:rPr>
        <w:t>1</w:t>
      </w:r>
      <w:r>
        <w:rPr>
          <w:rFonts w:hint="eastAsia" w:ascii="华文仿宋" w:hAnsi="华文仿宋" w:cs="华文仿宋"/>
          <w:color w:val="auto"/>
        </w:rPr>
        <w:t>名法律专家。</w:t>
      </w:r>
    </w:p>
    <w:p w14:paraId="1AE5B6F9">
      <w:pPr>
        <w:spacing w:line="500" w:lineRule="exact"/>
        <w:ind w:firstLine="566" w:firstLineChars="200"/>
        <w:rPr>
          <w:rFonts w:ascii="Calibri" w:hAnsi="Calibri"/>
          <w:color w:val="auto"/>
        </w:rPr>
      </w:pPr>
      <w:r>
        <w:rPr>
          <w:rFonts w:hint="eastAsia" w:ascii="仿宋" w:hAnsi="仿宋" w:eastAsia="仿宋" w:cs="仿宋"/>
          <w:color w:val="auto"/>
        </w:rPr>
        <w:t>3</w:t>
      </w:r>
      <w:r>
        <w:rPr>
          <w:rFonts w:hint="eastAsia" w:ascii="华文仿宋" w:hAnsi="华文仿宋" w:cs="华文仿宋"/>
          <w:color w:val="auto"/>
        </w:rPr>
        <w:t>、</w:t>
      </w:r>
      <w:r>
        <w:rPr>
          <w:rFonts w:hint="eastAsia" w:ascii="Calibri" w:hAnsi="Calibri"/>
          <w:color w:val="auto"/>
        </w:rPr>
        <w:t>评审中因磋商</w:t>
      </w:r>
      <w:r>
        <w:rPr>
          <w:rFonts w:ascii="Calibri" w:hAnsi="Calibri"/>
          <w:color w:val="auto"/>
        </w:rPr>
        <w:t>小组</w:t>
      </w:r>
      <w:r>
        <w:rPr>
          <w:rFonts w:hint="eastAsia" w:ascii="Calibri" w:hAnsi="Calibri"/>
          <w:color w:val="auto"/>
        </w:rPr>
        <w:t>成员缺席、回避或者健康等特殊原因导致磋商</w:t>
      </w:r>
      <w:r>
        <w:rPr>
          <w:rFonts w:ascii="Calibri" w:hAnsi="Calibri"/>
          <w:color w:val="auto"/>
        </w:rPr>
        <w:t>小组</w:t>
      </w:r>
      <w:r>
        <w:rPr>
          <w:rFonts w:hint="eastAsia" w:ascii="Calibri" w:hAnsi="Calibri"/>
          <w:color w:val="auto"/>
        </w:rPr>
        <w:t>组成不符合规定的，</w:t>
      </w:r>
      <w:r>
        <w:rPr>
          <w:rFonts w:hint="eastAsia" w:ascii="仿宋" w:hAnsi="仿宋" w:eastAsia="仿宋"/>
          <w:color w:val="auto"/>
        </w:rPr>
        <w:t>陕西省省级单位政府采购中心</w:t>
      </w:r>
      <w:r>
        <w:rPr>
          <w:rFonts w:hint="eastAsia" w:ascii="Calibri" w:hAnsi="Calibri"/>
          <w:color w:val="auto"/>
        </w:rPr>
        <w:t>应当依法补足后继续评审。被更换的磋商</w:t>
      </w:r>
      <w:r>
        <w:rPr>
          <w:rFonts w:ascii="Calibri" w:hAnsi="Calibri"/>
          <w:color w:val="auto"/>
        </w:rPr>
        <w:t>小组</w:t>
      </w:r>
      <w:r>
        <w:rPr>
          <w:rFonts w:hint="eastAsia" w:ascii="Calibri" w:hAnsi="Calibri"/>
          <w:color w:val="auto"/>
        </w:rPr>
        <w:t>成员所做出的评审意见无效。无法及时补足磋商</w:t>
      </w:r>
      <w:r>
        <w:rPr>
          <w:rFonts w:ascii="Calibri" w:hAnsi="Calibri"/>
          <w:color w:val="auto"/>
        </w:rPr>
        <w:t>小组</w:t>
      </w:r>
      <w:r>
        <w:rPr>
          <w:rFonts w:hint="eastAsia" w:ascii="Calibri" w:hAnsi="Calibri"/>
          <w:color w:val="auto"/>
        </w:rPr>
        <w:t>成员的，</w:t>
      </w:r>
      <w:r>
        <w:rPr>
          <w:rFonts w:hint="eastAsia" w:ascii="仿宋" w:hAnsi="仿宋" w:eastAsia="仿宋"/>
          <w:color w:val="auto"/>
        </w:rPr>
        <w:t>陕西省省级单位政府采购中心</w:t>
      </w:r>
      <w:r>
        <w:rPr>
          <w:rFonts w:hint="eastAsia" w:ascii="Calibri" w:hAnsi="Calibri"/>
          <w:color w:val="auto"/>
        </w:rPr>
        <w:t>应当停止评审活动，封存所有响应文件和开标、评审资料，依法重新组建磋商</w:t>
      </w:r>
      <w:r>
        <w:rPr>
          <w:rFonts w:ascii="Calibri" w:hAnsi="Calibri"/>
          <w:color w:val="auto"/>
        </w:rPr>
        <w:t>小组</w:t>
      </w:r>
      <w:r>
        <w:rPr>
          <w:rFonts w:hint="eastAsia" w:ascii="Calibri" w:hAnsi="Calibri"/>
          <w:color w:val="auto"/>
        </w:rPr>
        <w:t>进行评审。原磋商</w:t>
      </w:r>
      <w:r>
        <w:rPr>
          <w:rFonts w:ascii="Calibri" w:hAnsi="Calibri"/>
          <w:color w:val="auto"/>
        </w:rPr>
        <w:t>小组</w:t>
      </w:r>
      <w:r>
        <w:rPr>
          <w:rFonts w:hint="eastAsia" w:ascii="Calibri" w:hAnsi="Calibri"/>
          <w:color w:val="auto"/>
        </w:rPr>
        <w:t>所做出的评审意见无效。</w:t>
      </w:r>
    </w:p>
    <w:p w14:paraId="6A2A8218">
      <w:pPr>
        <w:spacing w:line="500" w:lineRule="exact"/>
        <w:ind w:firstLine="566" w:firstLineChars="200"/>
        <w:rPr>
          <w:rFonts w:hint="eastAsia" w:ascii="华文仿宋" w:hAnsi="华文仿宋" w:cs="华文仿宋"/>
          <w:b/>
          <w:color w:val="auto"/>
        </w:rPr>
      </w:pPr>
      <w:r>
        <w:rPr>
          <w:rFonts w:hint="eastAsia" w:ascii="仿宋" w:hAnsi="仿宋" w:eastAsia="仿宋"/>
          <w:color w:val="auto"/>
        </w:rPr>
        <w:t>陕西省省级单位政府采购中心</w:t>
      </w:r>
      <w:r>
        <w:rPr>
          <w:rFonts w:hint="eastAsia" w:ascii="Calibri" w:hAnsi="Calibri"/>
          <w:color w:val="auto"/>
        </w:rPr>
        <w:t>应当将变更、重新组建磋商</w:t>
      </w:r>
      <w:r>
        <w:rPr>
          <w:rFonts w:ascii="Calibri" w:hAnsi="Calibri"/>
          <w:color w:val="auto"/>
        </w:rPr>
        <w:t>小组</w:t>
      </w:r>
      <w:r>
        <w:rPr>
          <w:rFonts w:hint="eastAsia" w:ascii="Calibri" w:hAnsi="Calibri"/>
          <w:color w:val="auto"/>
        </w:rPr>
        <w:t>的情况予以记录，并随采购文件一并存档。</w:t>
      </w:r>
      <w:bookmarkStart w:id="148" w:name="_Toc4079_WPSOffice_Level3"/>
    </w:p>
    <w:p w14:paraId="22ECC9A1">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color w:val="auto"/>
        </w:rPr>
      </w:pPr>
      <w:r>
        <w:rPr>
          <w:rFonts w:hint="eastAsia" w:ascii="华文仿宋" w:hAnsi="华文仿宋" w:cs="华文仿宋"/>
          <w:b/>
          <w:color w:val="auto"/>
        </w:rPr>
        <w:t>（四）评审方法：综合评分法</w:t>
      </w:r>
      <w:bookmarkEnd w:id="148"/>
    </w:p>
    <w:p w14:paraId="3C612AB8">
      <w:pPr>
        <w:spacing w:line="500" w:lineRule="exact"/>
        <w:ind w:firstLine="566" w:firstLineChars="200"/>
        <w:rPr>
          <w:rFonts w:ascii="华文仿宋" w:hAnsi="华文仿宋" w:cs="华文仿宋"/>
          <w:color w:val="auto"/>
        </w:rPr>
      </w:pPr>
      <w:r>
        <w:rPr>
          <w:rFonts w:hint="eastAsia" w:ascii="Calibri" w:hAnsi="Calibri"/>
          <w:color w:val="auto"/>
        </w:rPr>
        <w:t>综合评分法，是指响应文件满足磋商文件全部实质性要求，且按照评审因素的量化指标评审得分由高到低的顺序推荐</w:t>
      </w:r>
      <w:r>
        <w:rPr>
          <w:rFonts w:hint="eastAsia" w:ascii="仿宋" w:hAnsi="仿宋" w:eastAsia="仿宋" w:cs="仿宋"/>
          <w:color w:val="auto"/>
        </w:rPr>
        <w:t>3</w:t>
      </w:r>
      <w:r>
        <w:rPr>
          <w:rFonts w:hint="eastAsia" w:ascii="Calibri" w:hAnsi="Calibri"/>
          <w:color w:val="auto"/>
        </w:rPr>
        <w:t>名以上的供应商为成交候选人。评审得分相同的，按照最后报价由低到高的顺序推荐。评审得分且最后报价相同的，按照技术指标优劣顺序推荐。</w:t>
      </w:r>
    </w:p>
    <w:p w14:paraId="36CBDCA0">
      <w:pPr>
        <w:spacing w:line="500" w:lineRule="exact"/>
        <w:ind w:left="567"/>
        <w:rPr>
          <w:rFonts w:ascii="华文仿宋" w:hAnsi="华文仿宋" w:cs="华文仿宋"/>
          <w:color w:val="auto"/>
        </w:rPr>
      </w:pPr>
      <w:bookmarkStart w:id="149" w:name="_Toc25396_WPSOffice_Level3"/>
      <w:r>
        <w:rPr>
          <w:rFonts w:hint="eastAsia" w:ascii="华文仿宋" w:hAnsi="华文仿宋" w:cs="华文仿宋"/>
          <w:b/>
          <w:color w:val="auto"/>
        </w:rPr>
        <w:t>（五）评审程序</w:t>
      </w:r>
      <w:bookmarkEnd w:id="149"/>
    </w:p>
    <w:p w14:paraId="195A56CB">
      <w:pPr>
        <w:spacing w:line="500" w:lineRule="exact"/>
        <w:ind w:firstLine="566" w:firstLineChars="200"/>
        <w:rPr>
          <w:rFonts w:ascii="Calibri" w:hAnsi="Calibri"/>
          <w:color w:val="auto"/>
        </w:rPr>
      </w:pPr>
      <w:r>
        <w:rPr>
          <w:rFonts w:hint="eastAsia" w:ascii="Calibri" w:hAnsi="Calibri"/>
          <w:color w:val="auto"/>
        </w:rPr>
        <w:t>分步评审，每一步评审不符合磋商文件要求者，不得进入下一步评审，全部评审合格的供应商，进入最后的打分，最后按得分由高向低排序，推荐成交候选供应商。</w:t>
      </w:r>
    </w:p>
    <w:p w14:paraId="599D4E41">
      <w:pPr>
        <w:spacing w:line="500" w:lineRule="exact"/>
        <w:ind w:firstLine="566" w:firstLineChars="200"/>
        <w:rPr>
          <w:rFonts w:ascii="华文仿宋" w:hAnsi="华文仿宋" w:cs="华文仿宋"/>
          <w:b/>
          <w:bCs/>
          <w:color w:val="auto"/>
        </w:rPr>
      </w:pPr>
      <w:r>
        <w:rPr>
          <w:rFonts w:hint="eastAsia" w:ascii="华文仿宋" w:hAnsi="华文仿宋" w:cs="华文仿宋"/>
          <w:b/>
          <w:bCs/>
          <w:color w:val="auto"/>
        </w:rPr>
        <w:t>1、资格性审查</w:t>
      </w:r>
    </w:p>
    <w:p w14:paraId="379F7845">
      <w:pPr>
        <w:spacing w:after="190" w:afterLines="50" w:line="500" w:lineRule="exact"/>
        <w:ind w:firstLine="566" w:firstLineChars="200"/>
        <w:rPr>
          <w:rFonts w:hint="eastAsia" w:ascii="华文仿宋" w:hAnsi="华文仿宋" w:cs="华文仿宋"/>
          <w:b/>
          <w:bCs/>
          <w:color w:val="auto"/>
        </w:rPr>
      </w:pPr>
      <w:r>
        <w:rPr>
          <w:color w:val="auto"/>
        </w:rPr>
        <w:t>开标结束后，</w:t>
      </w:r>
      <w:r>
        <w:rPr>
          <w:rFonts w:hint="eastAsia"/>
          <w:color w:val="auto"/>
        </w:rPr>
        <w:t>磋商小组</w:t>
      </w:r>
      <w:r>
        <w:rPr>
          <w:rFonts w:hint="eastAsia" w:ascii="华文仿宋" w:hAnsi="华文仿宋" w:cs="华文仿宋"/>
          <w:color w:val="auto"/>
        </w:rPr>
        <w:t>依据法律法规和磋商文件的规定，对响应文件中的</w:t>
      </w:r>
      <w:r>
        <w:rPr>
          <w:rFonts w:hint="eastAsia"/>
          <w:color w:val="auto"/>
        </w:rPr>
        <w:t>供应商</w:t>
      </w:r>
      <w:r>
        <w:rPr>
          <w:color w:val="auto"/>
        </w:rPr>
        <w:t>资格</w:t>
      </w:r>
      <w:r>
        <w:rPr>
          <w:rFonts w:hint="eastAsia"/>
          <w:color w:val="auto"/>
        </w:rPr>
        <w:t>证明文件</w:t>
      </w:r>
      <w:r>
        <w:rPr>
          <w:rFonts w:hint="eastAsia" w:ascii="华文仿宋" w:hAnsi="华文仿宋" w:cs="华文仿宋"/>
          <w:color w:val="auto"/>
        </w:rPr>
        <w:t>进行审查，以确定供应商是否具备磋商资格。</w:t>
      </w:r>
    </w:p>
    <w:p w14:paraId="5223A116">
      <w:pPr>
        <w:spacing w:line="360" w:lineRule="auto"/>
        <w:jc w:val="center"/>
        <w:rPr>
          <w:rFonts w:ascii="华文仿宋" w:hAnsi="华文仿宋" w:cs="华文仿宋"/>
          <w:b/>
          <w:bCs/>
          <w:color w:val="auto"/>
        </w:rPr>
      </w:pPr>
      <w:r>
        <w:rPr>
          <w:rFonts w:hint="eastAsia" w:ascii="华文仿宋" w:hAnsi="华文仿宋" w:cs="华文仿宋"/>
          <w:b/>
          <w:bCs/>
          <w:color w:val="auto"/>
        </w:rPr>
        <w:t>资格审查表</w:t>
      </w:r>
    </w:p>
    <w:tbl>
      <w:tblPr>
        <w:tblStyle w:val="23"/>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63"/>
        <w:gridCol w:w="4685"/>
        <w:gridCol w:w="684"/>
        <w:gridCol w:w="1178"/>
      </w:tblGrid>
      <w:tr w14:paraId="71B7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30" w:type="dxa"/>
            <w:vAlign w:val="center"/>
          </w:tcPr>
          <w:p w14:paraId="57DB7558">
            <w:pPr>
              <w:spacing w:line="240" w:lineRule="auto"/>
              <w:jc w:val="center"/>
              <w:rPr>
                <w:rFonts w:ascii="华文仿宋" w:hAnsi="华文仿宋" w:cs="华文仿宋"/>
                <w:b/>
                <w:color w:val="auto"/>
                <w:sz w:val="24"/>
                <w:szCs w:val="24"/>
              </w:rPr>
            </w:pPr>
            <w:r>
              <w:rPr>
                <w:rFonts w:hint="eastAsia" w:ascii="华文仿宋" w:hAnsi="华文仿宋" w:cs="华文仿宋"/>
                <w:b/>
                <w:color w:val="auto"/>
                <w:sz w:val="24"/>
                <w:szCs w:val="24"/>
              </w:rPr>
              <w:t>序号</w:t>
            </w:r>
          </w:p>
        </w:tc>
        <w:tc>
          <w:tcPr>
            <w:tcW w:w="1863" w:type="dxa"/>
            <w:vAlign w:val="center"/>
          </w:tcPr>
          <w:p w14:paraId="266B425C">
            <w:pPr>
              <w:spacing w:line="240" w:lineRule="auto"/>
              <w:jc w:val="center"/>
              <w:rPr>
                <w:rFonts w:ascii="华文仿宋" w:hAnsi="华文仿宋" w:cs="华文仿宋"/>
                <w:b/>
                <w:color w:val="auto"/>
                <w:kern w:val="28"/>
                <w:sz w:val="24"/>
                <w:szCs w:val="24"/>
              </w:rPr>
            </w:pPr>
            <w:r>
              <w:rPr>
                <w:rFonts w:hint="eastAsia" w:ascii="华文仿宋" w:hAnsi="华文仿宋" w:cs="华文仿宋"/>
                <w:b/>
                <w:color w:val="auto"/>
                <w:kern w:val="28"/>
                <w:sz w:val="24"/>
                <w:szCs w:val="24"/>
              </w:rPr>
              <w:t>资格审查项</w:t>
            </w:r>
          </w:p>
        </w:tc>
        <w:tc>
          <w:tcPr>
            <w:tcW w:w="4685" w:type="dxa"/>
            <w:vAlign w:val="center"/>
          </w:tcPr>
          <w:p w14:paraId="65FF6BCE">
            <w:pPr>
              <w:spacing w:line="240" w:lineRule="auto"/>
              <w:jc w:val="center"/>
              <w:rPr>
                <w:rFonts w:ascii="华文仿宋" w:hAnsi="华文仿宋" w:cs="华文仿宋"/>
                <w:b/>
                <w:color w:val="auto"/>
                <w:kern w:val="28"/>
                <w:sz w:val="24"/>
                <w:szCs w:val="24"/>
              </w:rPr>
            </w:pPr>
            <w:r>
              <w:rPr>
                <w:rFonts w:hint="eastAsia" w:ascii="华文仿宋" w:hAnsi="华文仿宋" w:cs="华文仿宋"/>
                <w:b/>
                <w:color w:val="auto"/>
                <w:kern w:val="28"/>
                <w:sz w:val="24"/>
                <w:szCs w:val="24"/>
              </w:rPr>
              <w:t>通过条件</w:t>
            </w:r>
          </w:p>
        </w:tc>
        <w:tc>
          <w:tcPr>
            <w:tcW w:w="684" w:type="dxa"/>
            <w:vAlign w:val="center"/>
          </w:tcPr>
          <w:p w14:paraId="13B3C4CB">
            <w:pPr>
              <w:spacing w:before="40" w:after="40" w:line="240" w:lineRule="auto"/>
              <w:jc w:val="center"/>
              <w:rPr>
                <w:rFonts w:ascii="华文仿宋" w:hAnsi="华文仿宋" w:cs="华文仿宋"/>
                <w:b/>
                <w:color w:val="auto"/>
                <w:sz w:val="24"/>
                <w:szCs w:val="24"/>
              </w:rPr>
            </w:pPr>
            <w:r>
              <w:rPr>
                <w:rFonts w:hint="eastAsia" w:ascii="华文仿宋" w:hAnsi="华文仿宋" w:cs="华文仿宋"/>
                <w:b/>
                <w:color w:val="auto"/>
                <w:sz w:val="24"/>
                <w:szCs w:val="24"/>
              </w:rPr>
              <w:t>结论</w:t>
            </w:r>
          </w:p>
        </w:tc>
        <w:tc>
          <w:tcPr>
            <w:tcW w:w="1178" w:type="dxa"/>
            <w:vAlign w:val="center"/>
          </w:tcPr>
          <w:p w14:paraId="7816E855">
            <w:pPr>
              <w:spacing w:before="40" w:after="40" w:line="240" w:lineRule="auto"/>
              <w:jc w:val="center"/>
              <w:rPr>
                <w:rFonts w:ascii="华文仿宋" w:hAnsi="华文仿宋" w:cs="华文仿宋"/>
                <w:b/>
                <w:color w:val="auto"/>
                <w:sz w:val="24"/>
                <w:szCs w:val="24"/>
              </w:rPr>
            </w:pPr>
            <w:r>
              <w:rPr>
                <w:rFonts w:hint="eastAsia" w:ascii="华文仿宋" w:hAnsi="华文仿宋" w:cs="华文仿宋"/>
                <w:b/>
                <w:color w:val="auto"/>
                <w:sz w:val="24"/>
                <w:szCs w:val="24"/>
              </w:rPr>
              <w:t>不通过原因</w:t>
            </w:r>
          </w:p>
        </w:tc>
      </w:tr>
      <w:tr w14:paraId="5EA5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30" w:type="dxa"/>
            <w:vAlign w:val="center"/>
          </w:tcPr>
          <w:p w14:paraId="23252EBD">
            <w:pPr>
              <w:spacing w:line="240" w:lineRule="auto"/>
              <w:jc w:val="center"/>
              <w:rPr>
                <w:rFonts w:ascii="华文仿宋" w:hAnsi="华文仿宋" w:cs="华文仿宋"/>
                <w:bCs/>
                <w:color w:val="auto"/>
                <w:sz w:val="24"/>
                <w:szCs w:val="24"/>
              </w:rPr>
            </w:pPr>
            <w:r>
              <w:rPr>
                <w:rFonts w:hint="eastAsia" w:ascii="华文仿宋" w:hAnsi="华文仿宋" w:cs="华文仿宋"/>
                <w:bCs/>
                <w:color w:val="auto"/>
                <w:sz w:val="24"/>
                <w:szCs w:val="24"/>
              </w:rPr>
              <w:t>1</w:t>
            </w:r>
          </w:p>
        </w:tc>
        <w:tc>
          <w:tcPr>
            <w:tcW w:w="1863" w:type="dxa"/>
            <w:vAlign w:val="center"/>
          </w:tcPr>
          <w:p w14:paraId="4C818BAF">
            <w:pPr>
              <w:spacing w:line="240" w:lineRule="auto"/>
              <w:rPr>
                <w:rFonts w:ascii="华文仿宋" w:hAnsi="华文仿宋" w:cs="华文仿宋"/>
                <w:color w:val="auto"/>
                <w:kern w:val="28"/>
                <w:sz w:val="24"/>
                <w:szCs w:val="24"/>
              </w:rPr>
            </w:pPr>
            <w:r>
              <w:rPr>
                <w:rFonts w:hint="eastAsia" w:ascii="华文仿宋" w:hAnsi="华文仿宋" w:cs="华文仿宋"/>
                <w:color w:val="auto"/>
                <w:kern w:val="28"/>
                <w:sz w:val="24"/>
                <w:szCs w:val="24"/>
              </w:rPr>
              <w:t>营业执照等主体资格证明文件</w:t>
            </w:r>
          </w:p>
        </w:tc>
        <w:tc>
          <w:tcPr>
            <w:tcW w:w="4685" w:type="dxa"/>
            <w:vAlign w:val="center"/>
          </w:tcPr>
          <w:p w14:paraId="47ED54D9">
            <w:pPr>
              <w:spacing w:line="240" w:lineRule="auto"/>
              <w:rPr>
                <w:rFonts w:ascii="华文仿宋" w:hAnsi="华文仿宋" w:cs="华文仿宋"/>
                <w:color w:val="auto"/>
                <w:kern w:val="28"/>
                <w:sz w:val="24"/>
                <w:szCs w:val="24"/>
              </w:rPr>
            </w:pPr>
            <w:r>
              <w:rPr>
                <w:rFonts w:hint="eastAsia" w:ascii="华文仿宋" w:hAnsi="华文仿宋" w:cs="华文仿宋"/>
                <w:color w:val="auto"/>
                <w:kern w:val="28"/>
                <w:sz w:val="24"/>
                <w:szCs w:val="24"/>
              </w:rPr>
              <w:t>提供有效存续的企业营业执照（副本）/事业单位法人证书/专业服务机构执业许可证/民办非企业单位登记证书。</w:t>
            </w:r>
          </w:p>
        </w:tc>
        <w:tc>
          <w:tcPr>
            <w:tcW w:w="684" w:type="dxa"/>
            <w:vAlign w:val="center"/>
          </w:tcPr>
          <w:p w14:paraId="620B5C74">
            <w:pPr>
              <w:spacing w:before="40" w:after="40" w:line="240" w:lineRule="auto"/>
              <w:rPr>
                <w:rFonts w:ascii="华文仿宋" w:hAnsi="华文仿宋" w:cs="华文仿宋"/>
                <w:b/>
                <w:color w:val="auto"/>
                <w:sz w:val="24"/>
                <w:szCs w:val="24"/>
              </w:rPr>
            </w:pPr>
          </w:p>
        </w:tc>
        <w:tc>
          <w:tcPr>
            <w:tcW w:w="1178" w:type="dxa"/>
            <w:vAlign w:val="center"/>
          </w:tcPr>
          <w:p w14:paraId="2A9A8DBB">
            <w:pPr>
              <w:spacing w:before="40" w:after="40" w:line="240" w:lineRule="auto"/>
              <w:rPr>
                <w:rFonts w:ascii="华文仿宋" w:hAnsi="华文仿宋" w:cs="华文仿宋"/>
                <w:b/>
                <w:color w:val="auto"/>
                <w:sz w:val="24"/>
                <w:szCs w:val="24"/>
              </w:rPr>
            </w:pPr>
          </w:p>
        </w:tc>
      </w:tr>
      <w:tr w14:paraId="0EAA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30" w:type="dxa"/>
            <w:vAlign w:val="center"/>
          </w:tcPr>
          <w:p w14:paraId="654EFAC4">
            <w:pPr>
              <w:spacing w:line="240" w:lineRule="auto"/>
              <w:jc w:val="center"/>
              <w:rPr>
                <w:rFonts w:ascii="华文仿宋" w:hAnsi="华文仿宋" w:cs="华文仿宋"/>
                <w:bCs/>
                <w:color w:val="auto"/>
                <w:sz w:val="24"/>
                <w:szCs w:val="24"/>
              </w:rPr>
            </w:pPr>
            <w:r>
              <w:rPr>
                <w:rFonts w:hint="eastAsia" w:ascii="华文仿宋" w:hAnsi="华文仿宋" w:cs="华文仿宋"/>
                <w:bCs/>
                <w:color w:val="auto"/>
                <w:sz w:val="24"/>
                <w:szCs w:val="24"/>
              </w:rPr>
              <w:t>2</w:t>
            </w:r>
          </w:p>
        </w:tc>
        <w:tc>
          <w:tcPr>
            <w:tcW w:w="1863" w:type="dxa"/>
            <w:vAlign w:val="center"/>
          </w:tcPr>
          <w:p w14:paraId="79F85C82">
            <w:pPr>
              <w:spacing w:line="240" w:lineRule="auto"/>
              <w:rPr>
                <w:rFonts w:ascii="华文仿宋" w:hAnsi="华文仿宋" w:cs="华文仿宋"/>
                <w:color w:val="auto"/>
                <w:kern w:val="28"/>
                <w:sz w:val="24"/>
                <w:szCs w:val="24"/>
              </w:rPr>
            </w:pPr>
            <w:r>
              <w:rPr>
                <w:rFonts w:hint="eastAsia" w:ascii="华文仿宋" w:hAnsi="华文仿宋" w:cs="华文仿宋"/>
                <w:color w:val="auto"/>
                <w:kern w:val="28"/>
                <w:sz w:val="24"/>
                <w:szCs w:val="24"/>
              </w:rPr>
              <w:t>财务状况报告</w:t>
            </w:r>
          </w:p>
        </w:tc>
        <w:tc>
          <w:tcPr>
            <w:tcW w:w="4685" w:type="dxa"/>
            <w:vAlign w:val="center"/>
          </w:tcPr>
          <w:p w14:paraId="2C484C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color w:val="auto"/>
                <w:kern w:val="28"/>
                <w:sz w:val="24"/>
                <w:szCs w:val="24"/>
                <w:lang w:eastAsia="zh-CN"/>
              </w:rPr>
            </w:pPr>
            <w:r>
              <w:rPr>
                <w:rFonts w:hint="eastAsia" w:ascii="华文仿宋" w:hAnsi="华文仿宋" w:cs="华文仿宋"/>
                <w:color w:val="auto"/>
                <w:sz w:val="24"/>
                <w:szCs w:val="24"/>
              </w:rPr>
              <w:t>提供</w:t>
            </w:r>
            <w:r>
              <w:rPr>
                <w:rFonts w:hint="eastAsia" w:ascii="仿宋" w:hAnsi="仿宋" w:eastAsia="仿宋" w:cs="仿宋"/>
                <w:color w:val="auto"/>
                <w:kern w:val="28"/>
                <w:sz w:val="24"/>
                <w:szCs w:val="24"/>
              </w:rPr>
              <w:t>2019</w:t>
            </w:r>
            <w:r>
              <w:rPr>
                <w:rFonts w:hint="eastAsia" w:ascii="华文仿宋" w:hAnsi="华文仿宋" w:cs="华文仿宋"/>
                <w:color w:val="auto"/>
                <w:kern w:val="28"/>
                <w:sz w:val="24"/>
                <w:szCs w:val="24"/>
              </w:rPr>
              <w:t>年度经审计的财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r>
              <w:rPr>
                <w:rFonts w:hint="eastAsia" w:ascii="华文仿宋" w:hAnsi="华文仿宋" w:cs="华文仿宋"/>
                <w:color w:val="auto"/>
                <w:kern w:val="28"/>
                <w:sz w:val="24"/>
                <w:szCs w:val="24"/>
                <w:lang w:eastAsia="zh-CN"/>
              </w:rPr>
              <w:t>。</w:t>
            </w:r>
          </w:p>
        </w:tc>
        <w:tc>
          <w:tcPr>
            <w:tcW w:w="684" w:type="dxa"/>
            <w:vAlign w:val="center"/>
          </w:tcPr>
          <w:p w14:paraId="3965EBAA">
            <w:pPr>
              <w:spacing w:before="40" w:after="40" w:line="240" w:lineRule="auto"/>
              <w:rPr>
                <w:rFonts w:ascii="华文仿宋" w:hAnsi="华文仿宋" w:cs="华文仿宋"/>
                <w:b/>
                <w:color w:val="auto"/>
                <w:sz w:val="24"/>
                <w:szCs w:val="24"/>
              </w:rPr>
            </w:pPr>
          </w:p>
        </w:tc>
        <w:tc>
          <w:tcPr>
            <w:tcW w:w="1178" w:type="dxa"/>
            <w:vAlign w:val="center"/>
          </w:tcPr>
          <w:p w14:paraId="7DE0C90B">
            <w:pPr>
              <w:spacing w:before="40" w:after="40" w:line="240" w:lineRule="auto"/>
              <w:rPr>
                <w:rFonts w:ascii="华文仿宋" w:hAnsi="华文仿宋" w:cs="华文仿宋"/>
                <w:b/>
                <w:color w:val="auto"/>
                <w:sz w:val="24"/>
                <w:szCs w:val="24"/>
              </w:rPr>
            </w:pPr>
          </w:p>
        </w:tc>
      </w:tr>
      <w:tr w14:paraId="5D78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30" w:type="dxa"/>
            <w:vAlign w:val="center"/>
          </w:tcPr>
          <w:p w14:paraId="561B1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华文仿宋" w:hAnsi="华文仿宋" w:cs="华文仿宋"/>
                <w:bCs/>
                <w:color w:val="auto"/>
                <w:sz w:val="24"/>
                <w:szCs w:val="24"/>
              </w:rPr>
            </w:pPr>
            <w:r>
              <w:rPr>
                <w:rFonts w:hint="eastAsia" w:ascii="华文仿宋" w:hAnsi="华文仿宋" w:cs="华文仿宋"/>
                <w:bCs/>
                <w:color w:val="auto"/>
                <w:sz w:val="24"/>
                <w:szCs w:val="24"/>
              </w:rPr>
              <w:t>3</w:t>
            </w:r>
          </w:p>
        </w:tc>
        <w:tc>
          <w:tcPr>
            <w:tcW w:w="1863" w:type="dxa"/>
            <w:vAlign w:val="center"/>
          </w:tcPr>
          <w:p w14:paraId="73589F27">
            <w:pPr>
              <w:spacing w:line="240" w:lineRule="auto"/>
              <w:rPr>
                <w:rFonts w:ascii="华文仿宋" w:hAnsi="华文仿宋" w:cs="华文仿宋"/>
                <w:color w:val="auto"/>
                <w:kern w:val="28"/>
                <w:sz w:val="24"/>
                <w:szCs w:val="24"/>
              </w:rPr>
            </w:pPr>
            <w:r>
              <w:rPr>
                <w:rFonts w:hint="eastAsia" w:ascii="华文仿宋" w:hAnsi="华文仿宋" w:cs="华文仿宋"/>
                <w:color w:val="auto"/>
                <w:kern w:val="28"/>
                <w:sz w:val="24"/>
                <w:szCs w:val="24"/>
              </w:rPr>
              <w:t>社保缴纳证明</w:t>
            </w:r>
          </w:p>
        </w:tc>
        <w:tc>
          <w:tcPr>
            <w:tcW w:w="4685" w:type="dxa"/>
            <w:vAlign w:val="center"/>
          </w:tcPr>
          <w:p w14:paraId="3486600A">
            <w:pPr>
              <w:spacing w:line="240" w:lineRule="auto"/>
              <w:rPr>
                <w:rFonts w:ascii="华文仿宋" w:hAnsi="华文仿宋" w:cs="华文仿宋"/>
                <w:color w:val="auto"/>
                <w:kern w:val="28"/>
                <w:sz w:val="24"/>
                <w:szCs w:val="24"/>
              </w:rPr>
            </w:pPr>
            <w:r>
              <w:rPr>
                <w:rFonts w:hint="eastAsia" w:ascii="华文仿宋" w:hAnsi="华文仿宋" w:cs="华文仿宋"/>
                <w:color w:val="auto"/>
                <w:kern w:val="28"/>
                <w:sz w:val="24"/>
                <w:szCs w:val="24"/>
                <w:lang w:eastAsia="zh-CN"/>
              </w:rPr>
              <w:t>提供已缴存的</w:t>
            </w:r>
            <w:r>
              <w:rPr>
                <w:rFonts w:hint="eastAsia" w:ascii="仿宋" w:hAnsi="仿宋" w:eastAsia="仿宋" w:cs="仿宋"/>
                <w:color w:val="auto"/>
                <w:kern w:val="28"/>
                <w:sz w:val="24"/>
                <w:szCs w:val="24"/>
              </w:rPr>
              <w:t>20</w:t>
            </w:r>
            <w:r>
              <w:rPr>
                <w:rFonts w:hint="eastAsia" w:ascii="仿宋" w:hAnsi="仿宋" w:eastAsia="仿宋" w:cs="仿宋"/>
                <w:color w:val="auto"/>
                <w:kern w:val="28"/>
                <w:sz w:val="24"/>
                <w:szCs w:val="24"/>
                <w:lang w:val="en-US" w:eastAsia="zh-CN"/>
              </w:rPr>
              <w:t>20</w:t>
            </w:r>
            <w:r>
              <w:rPr>
                <w:rFonts w:hint="eastAsia" w:ascii="华文仿宋" w:hAnsi="华文仿宋" w:cs="华文仿宋"/>
                <w:color w:val="auto"/>
                <w:kern w:val="28"/>
                <w:sz w:val="24"/>
                <w:szCs w:val="24"/>
              </w:rPr>
              <w:t>年</w:t>
            </w:r>
            <w:r>
              <w:rPr>
                <w:rFonts w:hint="eastAsia" w:ascii="仿宋" w:hAnsi="仿宋" w:eastAsia="仿宋" w:cs="仿宋"/>
                <w:color w:val="auto"/>
                <w:kern w:val="28"/>
                <w:sz w:val="24"/>
                <w:szCs w:val="24"/>
                <w:lang w:val="en-US" w:eastAsia="zh-CN"/>
              </w:rPr>
              <w:t>7</w:t>
            </w:r>
            <w:r>
              <w:rPr>
                <w:rFonts w:hint="eastAsia" w:ascii="华文仿宋" w:hAnsi="华文仿宋" w:cs="华文仿宋"/>
                <w:color w:val="auto"/>
                <w:kern w:val="28"/>
                <w:sz w:val="24"/>
                <w:szCs w:val="24"/>
              </w:rPr>
              <w:t>月</w:t>
            </w:r>
            <w:r>
              <w:rPr>
                <w:rFonts w:hint="eastAsia" w:ascii="仿宋" w:hAnsi="仿宋" w:eastAsia="仿宋" w:cs="仿宋"/>
                <w:color w:val="auto"/>
                <w:kern w:val="28"/>
                <w:sz w:val="24"/>
                <w:szCs w:val="24"/>
              </w:rPr>
              <w:t>1</w:t>
            </w:r>
            <w:r>
              <w:rPr>
                <w:rFonts w:hint="eastAsia" w:ascii="华文仿宋" w:hAnsi="华文仿宋" w:cs="华文仿宋"/>
                <w:color w:val="auto"/>
                <w:kern w:val="28"/>
                <w:sz w:val="24"/>
                <w:szCs w:val="24"/>
              </w:rPr>
              <w:t>日以来至少一个月的社会保障资金缴存单据或社保机构开具的社会保险参保缴费情况证明。依法不需要缴纳社会保障资金的供应商应提供相关文件证明。</w:t>
            </w:r>
          </w:p>
        </w:tc>
        <w:tc>
          <w:tcPr>
            <w:tcW w:w="684" w:type="dxa"/>
            <w:vAlign w:val="center"/>
          </w:tcPr>
          <w:p w14:paraId="49539843">
            <w:pPr>
              <w:spacing w:before="40" w:after="40" w:line="240" w:lineRule="auto"/>
              <w:rPr>
                <w:rFonts w:ascii="华文仿宋" w:hAnsi="华文仿宋" w:cs="华文仿宋"/>
                <w:b/>
                <w:color w:val="auto"/>
                <w:sz w:val="24"/>
                <w:szCs w:val="24"/>
              </w:rPr>
            </w:pPr>
          </w:p>
        </w:tc>
        <w:tc>
          <w:tcPr>
            <w:tcW w:w="1178" w:type="dxa"/>
            <w:vAlign w:val="center"/>
          </w:tcPr>
          <w:p w14:paraId="31295516">
            <w:pPr>
              <w:spacing w:before="40" w:after="40" w:line="240" w:lineRule="auto"/>
              <w:rPr>
                <w:rFonts w:ascii="华文仿宋" w:hAnsi="华文仿宋" w:cs="华文仿宋"/>
                <w:b/>
                <w:color w:val="auto"/>
                <w:sz w:val="24"/>
                <w:szCs w:val="24"/>
              </w:rPr>
            </w:pPr>
          </w:p>
        </w:tc>
      </w:tr>
      <w:tr w14:paraId="7928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730" w:type="dxa"/>
            <w:vAlign w:val="center"/>
          </w:tcPr>
          <w:p w14:paraId="49CC7F7F">
            <w:pPr>
              <w:spacing w:line="240" w:lineRule="auto"/>
              <w:jc w:val="center"/>
              <w:rPr>
                <w:rFonts w:ascii="华文仿宋" w:hAnsi="华文仿宋" w:cs="华文仿宋"/>
                <w:bCs/>
                <w:color w:val="auto"/>
                <w:sz w:val="24"/>
                <w:szCs w:val="24"/>
              </w:rPr>
            </w:pPr>
            <w:r>
              <w:rPr>
                <w:rFonts w:hint="eastAsia" w:ascii="华文仿宋" w:hAnsi="华文仿宋" w:cs="华文仿宋"/>
                <w:bCs/>
                <w:color w:val="auto"/>
                <w:sz w:val="24"/>
                <w:szCs w:val="24"/>
              </w:rPr>
              <w:t>4</w:t>
            </w:r>
          </w:p>
        </w:tc>
        <w:tc>
          <w:tcPr>
            <w:tcW w:w="1863" w:type="dxa"/>
            <w:vAlign w:val="center"/>
          </w:tcPr>
          <w:p w14:paraId="30E1425A">
            <w:pPr>
              <w:spacing w:line="240" w:lineRule="auto"/>
              <w:rPr>
                <w:rFonts w:ascii="华文仿宋" w:hAnsi="华文仿宋" w:cs="华文仿宋"/>
                <w:color w:val="auto"/>
                <w:kern w:val="28"/>
                <w:sz w:val="24"/>
                <w:szCs w:val="24"/>
              </w:rPr>
            </w:pPr>
            <w:r>
              <w:rPr>
                <w:rFonts w:hint="eastAsia" w:ascii="华文仿宋" w:hAnsi="华文仿宋" w:cs="华文仿宋"/>
                <w:color w:val="auto"/>
                <w:kern w:val="28"/>
                <w:sz w:val="24"/>
                <w:szCs w:val="24"/>
              </w:rPr>
              <w:t>税收缴纳证明</w:t>
            </w:r>
          </w:p>
        </w:tc>
        <w:tc>
          <w:tcPr>
            <w:tcW w:w="4685" w:type="dxa"/>
            <w:vAlign w:val="center"/>
          </w:tcPr>
          <w:p w14:paraId="0842F59D">
            <w:pPr>
              <w:spacing w:line="240" w:lineRule="auto"/>
              <w:rPr>
                <w:rFonts w:ascii="华文仿宋" w:hAnsi="华文仿宋" w:cs="华文仿宋"/>
                <w:color w:val="auto"/>
                <w:kern w:val="28"/>
                <w:sz w:val="24"/>
                <w:szCs w:val="24"/>
              </w:rPr>
            </w:pPr>
            <w:r>
              <w:rPr>
                <w:rFonts w:hint="eastAsia" w:ascii="华文仿宋" w:hAnsi="华文仿宋" w:cs="华文仿宋"/>
                <w:color w:val="auto"/>
                <w:kern w:val="28"/>
                <w:sz w:val="24"/>
                <w:szCs w:val="24"/>
                <w:lang w:eastAsia="zh-CN"/>
              </w:rPr>
              <w:t>提供已缴</w:t>
            </w:r>
            <w:r>
              <w:rPr>
                <w:rFonts w:hint="eastAsia" w:ascii="华文仿宋" w:hAnsi="华文仿宋" w:cs="华文仿宋"/>
                <w:color w:val="auto"/>
                <w:kern w:val="28"/>
                <w:sz w:val="24"/>
                <w:szCs w:val="24"/>
                <w:lang w:val="en-US" w:eastAsia="zh-CN"/>
              </w:rPr>
              <w:t>纳</w:t>
            </w:r>
            <w:r>
              <w:rPr>
                <w:rFonts w:hint="eastAsia" w:ascii="华文仿宋" w:hAnsi="华文仿宋" w:cs="华文仿宋"/>
                <w:color w:val="auto"/>
                <w:kern w:val="28"/>
                <w:sz w:val="24"/>
                <w:szCs w:val="24"/>
                <w:lang w:eastAsia="zh-CN"/>
              </w:rPr>
              <w:t>的</w:t>
            </w:r>
            <w:r>
              <w:rPr>
                <w:rFonts w:hint="eastAsia" w:ascii="仿宋" w:hAnsi="仿宋" w:eastAsia="仿宋" w:cs="仿宋"/>
                <w:color w:val="auto"/>
                <w:kern w:val="28"/>
                <w:sz w:val="24"/>
                <w:szCs w:val="24"/>
              </w:rPr>
              <w:t>20</w:t>
            </w:r>
            <w:r>
              <w:rPr>
                <w:rFonts w:hint="eastAsia" w:ascii="仿宋" w:hAnsi="仿宋" w:eastAsia="仿宋" w:cs="仿宋"/>
                <w:color w:val="auto"/>
                <w:kern w:val="28"/>
                <w:sz w:val="24"/>
                <w:szCs w:val="24"/>
                <w:lang w:val="en-US" w:eastAsia="zh-CN"/>
              </w:rPr>
              <w:t>20</w:t>
            </w:r>
            <w:r>
              <w:rPr>
                <w:rFonts w:hint="eastAsia" w:ascii="华文仿宋" w:hAnsi="华文仿宋" w:cs="华文仿宋"/>
                <w:color w:val="auto"/>
                <w:kern w:val="28"/>
                <w:sz w:val="24"/>
                <w:szCs w:val="24"/>
              </w:rPr>
              <w:t>年</w:t>
            </w:r>
            <w:r>
              <w:rPr>
                <w:rFonts w:hint="eastAsia" w:ascii="仿宋" w:hAnsi="仿宋" w:eastAsia="仿宋" w:cs="仿宋"/>
                <w:color w:val="auto"/>
                <w:kern w:val="28"/>
                <w:sz w:val="24"/>
                <w:szCs w:val="24"/>
                <w:lang w:val="en-US" w:eastAsia="zh-CN"/>
              </w:rPr>
              <w:t>7</w:t>
            </w:r>
            <w:r>
              <w:rPr>
                <w:rFonts w:hint="eastAsia" w:ascii="华文仿宋" w:hAnsi="华文仿宋" w:cs="华文仿宋"/>
                <w:color w:val="auto"/>
                <w:kern w:val="28"/>
                <w:sz w:val="24"/>
                <w:szCs w:val="24"/>
              </w:rPr>
              <w:t>月</w:t>
            </w:r>
            <w:r>
              <w:rPr>
                <w:rFonts w:hint="eastAsia" w:ascii="仿宋" w:hAnsi="仿宋" w:eastAsia="仿宋" w:cs="仿宋"/>
                <w:color w:val="auto"/>
                <w:kern w:val="28"/>
                <w:sz w:val="24"/>
                <w:szCs w:val="24"/>
              </w:rPr>
              <w:t>1</w:t>
            </w:r>
            <w:r>
              <w:rPr>
                <w:rFonts w:hint="eastAsia" w:ascii="华文仿宋" w:hAnsi="华文仿宋" w:cs="华文仿宋"/>
                <w:color w:val="auto"/>
                <w:kern w:val="28"/>
                <w:sz w:val="24"/>
                <w:szCs w:val="24"/>
              </w:rPr>
              <w:t>日以来至少一个月的纳税证明或完税证明（提供增值税、企业所得税至少一种），纳税证明或完税证明上应有代收机构或税务机关的公章或业务专用章。依法免税的供应商应提供相关文件证明。</w:t>
            </w:r>
          </w:p>
        </w:tc>
        <w:tc>
          <w:tcPr>
            <w:tcW w:w="684" w:type="dxa"/>
            <w:vAlign w:val="center"/>
          </w:tcPr>
          <w:p w14:paraId="2BFF739A">
            <w:pPr>
              <w:spacing w:before="40" w:after="40" w:line="240" w:lineRule="auto"/>
              <w:rPr>
                <w:rFonts w:ascii="华文仿宋" w:hAnsi="华文仿宋" w:cs="华文仿宋"/>
                <w:b/>
                <w:color w:val="auto"/>
                <w:sz w:val="24"/>
                <w:szCs w:val="24"/>
              </w:rPr>
            </w:pPr>
          </w:p>
        </w:tc>
        <w:tc>
          <w:tcPr>
            <w:tcW w:w="1178" w:type="dxa"/>
            <w:vAlign w:val="center"/>
          </w:tcPr>
          <w:p w14:paraId="09DAB6AD">
            <w:pPr>
              <w:spacing w:before="40" w:after="40" w:line="240" w:lineRule="auto"/>
              <w:rPr>
                <w:rFonts w:ascii="华文仿宋" w:hAnsi="华文仿宋" w:cs="华文仿宋"/>
                <w:b/>
                <w:color w:val="auto"/>
                <w:sz w:val="24"/>
                <w:szCs w:val="24"/>
              </w:rPr>
            </w:pPr>
          </w:p>
        </w:tc>
      </w:tr>
      <w:tr w14:paraId="5682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30" w:type="dxa"/>
            <w:vAlign w:val="center"/>
          </w:tcPr>
          <w:p w14:paraId="16B9520A">
            <w:pPr>
              <w:spacing w:line="240" w:lineRule="auto"/>
              <w:jc w:val="center"/>
              <w:rPr>
                <w:rFonts w:ascii="华文仿宋" w:hAnsi="华文仿宋" w:cs="华文仿宋"/>
                <w:bCs/>
                <w:color w:val="auto"/>
                <w:sz w:val="24"/>
                <w:szCs w:val="24"/>
              </w:rPr>
            </w:pPr>
            <w:r>
              <w:rPr>
                <w:rFonts w:hint="eastAsia" w:ascii="华文仿宋" w:hAnsi="华文仿宋" w:cs="华文仿宋"/>
                <w:bCs/>
                <w:color w:val="auto"/>
                <w:sz w:val="24"/>
                <w:szCs w:val="24"/>
              </w:rPr>
              <w:t>5</w:t>
            </w:r>
          </w:p>
        </w:tc>
        <w:tc>
          <w:tcPr>
            <w:tcW w:w="1863" w:type="dxa"/>
            <w:vAlign w:val="center"/>
          </w:tcPr>
          <w:p w14:paraId="107B1703">
            <w:pPr>
              <w:spacing w:line="240" w:lineRule="auto"/>
              <w:rPr>
                <w:rFonts w:ascii="华文仿宋" w:hAnsi="华文仿宋" w:cs="华文仿宋"/>
                <w:color w:val="auto"/>
                <w:kern w:val="28"/>
                <w:sz w:val="24"/>
                <w:szCs w:val="24"/>
              </w:rPr>
            </w:pPr>
            <w:r>
              <w:rPr>
                <w:rFonts w:hint="eastAsia" w:ascii="华文仿宋" w:hAnsi="华文仿宋" w:cs="华文仿宋"/>
                <w:color w:val="auto"/>
                <w:kern w:val="28"/>
                <w:sz w:val="24"/>
                <w:szCs w:val="24"/>
              </w:rPr>
              <w:t>信用记录</w:t>
            </w:r>
          </w:p>
        </w:tc>
        <w:tc>
          <w:tcPr>
            <w:tcW w:w="4685" w:type="dxa"/>
            <w:vAlign w:val="center"/>
          </w:tcPr>
          <w:p w14:paraId="6B599AA1">
            <w:pPr>
              <w:spacing w:line="240" w:lineRule="auto"/>
              <w:rPr>
                <w:rFonts w:ascii="华文仿宋" w:hAnsi="华文仿宋" w:cs="华文仿宋"/>
                <w:color w:val="auto"/>
                <w:kern w:val="28"/>
                <w:sz w:val="24"/>
                <w:szCs w:val="24"/>
              </w:rPr>
            </w:pPr>
            <w:r>
              <w:rPr>
                <w:rFonts w:hint="eastAsia" w:ascii="华文仿宋" w:hAnsi="华文仿宋" w:cs="华文仿宋"/>
                <w:color w:val="auto"/>
                <w:kern w:val="28"/>
                <w:sz w:val="24"/>
                <w:szCs w:val="24"/>
              </w:rPr>
              <w:t>提供《</w:t>
            </w:r>
            <w:r>
              <w:rPr>
                <w:rFonts w:hint="eastAsia" w:ascii="华文仿宋" w:hAnsi="华文仿宋" w:cs="华文仿宋"/>
                <w:color w:val="auto"/>
                <w:sz w:val="24"/>
                <w:szCs w:val="24"/>
              </w:rPr>
              <w:t>供应商</w:t>
            </w:r>
            <w:r>
              <w:rPr>
                <w:rFonts w:hint="eastAsia" w:ascii="华文仿宋" w:hAnsi="华文仿宋" w:cs="华文仿宋"/>
                <w:color w:val="auto"/>
                <w:sz w:val="24"/>
                <w:szCs w:val="24"/>
                <w:lang w:val="en-US" w:eastAsia="zh-CN"/>
              </w:rPr>
              <w:t>信用记录</w:t>
            </w:r>
            <w:r>
              <w:rPr>
                <w:rFonts w:hint="eastAsia" w:ascii="华文仿宋" w:hAnsi="华文仿宋" w:cs="华文仿宋"/>
                <w:color w:val="auto"/>
                <w:sz w:val="24"/>
                <w:szCs w:val="24"/>
              </w:rPr>
              <w:t>书面声明函</w:t>
            </w:r>
            <w:r>
              <w:rPr>
                <w:rFonts w:hint="eastAsia" w:ascii="华文仿宋" w:hAnsi="华文仿宋" w:cs="华文仿宋"/>
                <w:color w:val="auto"/>
                <w:kern w:val="28"/>
                <w:sz w:val="24"/>
                <w:szCs w:val="24"/>
              </w:rPr>
              <w:t>》（按格式填写，提供原件）。经查，供应商未被列入“信用中国”网站</w:t>
            </w:r>
            <w:r>
              <w:rPr>
                <w:rFonts w:hint="eastAsia" w:ascii="华文仿宋" w:hAnsi="华文仿宋" w:cs="华文仿宋"/>
                <w:color w:val="auto"/>
                <w:kern w:val="28"/>
                <w:sz w:val="24"/>
                <w:szCs w:val="24"/>
                <w:lang w:val="en-US" w:eastAsia="zh-CN"/>
              </w:rPr>
              <w:t>记录的</w:t>
            </w:r>
            <w:r>
              <w:rPr>
                <w:rFonts w:hint="eastAsia" w:ascii="华文仿宋" w:hAnsi="华文仿宋" w:cs="华文仿宋"/>
                <w:color w:val="auto"/>
                <w:kern w:val="28"/>
                <w:sz w:val="24"/>
                <w:szCs w:val="24"/>
              </w:rPr>
              <w:t>“失信被执行人</w:t>
            </w:r>
            <w:r>
              <w:rPr>
                <w:rFonts w:hint="eastAsia" w:ascii="华文仿宋" w:hAnsi="华文仿宋" w:cs="华文仿宋"/>
                <w:color w:val="auto"/>
                <w:kern w:val="28"/>
                <w:sz w:val="24"/>
                <w:szCs w:val="24"/>
                <w:lang w:eastAsia="zh-CN"/>
              </w:rPr>
              <w:t>”</w:t>
            </w:r>
            <w:r>
              <w:rPr>
                <w:rFonts w:hint="eastAsia" w:ascii="华文仿宋" w:hAnsi="华文仿宋" w:cs="华文仿宋"/>
                <w:color w:val="auto"/>
                <w:kern w:val="28"/>
                <w:sz w:val="24"/>
                <w:szCs w:val="24"/>
              </w:rPr>
              <w:t>或</w:t>
            </w:r>
            <w:r>
              <w:rPr>
                <w:rFonts w:hint="eastAsia" w:ascii="华文仿宋" w:hAnsi="华文仿宋" w:cs="华文仿宋"/>
                <w:color w:val="auto"/>
                <w:kern w:val="28"/>
                <w:sz w:val="24"/>
                <w:szCs w:val="24"/>
                <w:lang w:eastAsia="zh-CN"/>
              </w:rPr>
              <w:t>“</w:t>
            </w:r>
            <w:r>
              <w:rPr>
                <w:rFonts w:hint="eastAsia" w:ascii="华文仿宋" w:hAnsi="华文仿宋" w:cs="华文仿宋"/>
                <w:color w:val="auto"/>
                <w:kern w:val="28"/>
                <w:sz w:val="24"/>
                <w:szCs w:val="24"/>
              </w:rPr>
              <w:t>重大税收违法案件当事人</w:t>
            </w:r>
            <w:r>
              <w:rPr>
                <w:rFonts w:hint="eastAsia" w:ascii="华文仿宋" w:hAnsi="华文仿宋" w:cs="华文仿宋"/>
                <w:color w:val="auto"/>
                <w:kern w:val="28"/>
                <w:sz w:val="24"/>
                <w:szCs w:val="24"/>
                <w:lang w:eastAsia="zh-CN"/>
              </w:rPr>
              <w:t>”</w:t>
            </w:r>
            <w:r>
              <w:rPr>
                <w:rFonts w:hint="eastAsia" w:ascii="华文仿宋" w:hAnsi="华文仿宋" w:cs="华文仿宋"/>
                <w:color w:val="auto"/>
                <w:kern w:val="28"/>
                <w:sz w:val="24"/>
                <w:szCs w:val="24"/>
              </w:rPr>
              <w:t>名单；不处于</w:t>
            </w:r>
            <w:r>
              <w:rPr>
                <w:rFonts w:hint="eastAsia" w:ascii="华文仿宋" w:hAnsi="华文仿宋" w:cs="华文仿宋"/>
                <w:color w:val="auto"/>
                <w:kern w:val="28"/>
                <w:sz w:val="24"/>
                <w:szCs w:val="24"/>
                <w:lang w:eastAsia="zh-CN"/>
              </w:rPr>
              <w:t>“</w:t>
            </w:r>
            <w:r>
              <w:rPr>
                <w:rFonts w:hint="eastAsia" w:ascii="华文仿宋" w:hAnsi="华文仿宋" w:cs="华文仿宋"/>
                <w:color w:val="auto"/>
                <w:kern w:val="28"/>
                <w:sz w:val="24"/>
                <w:szCs w:val="24"/>
              </w:rPr>
              <w:t>中国政府采购网</w:t>
            </w:r>
            <w:r>
              <w:rPr>
                <w:rFonts w:hint="eastAsia" w:ascii="华文仿宋" w:hAnsi="华文仿宋" w:cs="华文仿宋"/>
                <w:color w:val="auto"/>
                <w:kern w:val="28"/>
                <w:sz w:val="24"/>
                <w:szCs w:val="24"/>
                <w:lang w:eastAsia="zh-CN"/>
              </w:rPr>
              <w:t>”</w:t>
            </w:r>
            <w:r>
              <w:rPr>
                <w:rFonts w:hint="eastAsia" w:ascii="华文仿宋" w:hAnsi="华文仿宋" w:cs="华文仿宋"/>
                <w:color w:val="auto"/>
                <w:kern w:val="28"/>
                <w:sz w:val="24"/>
                <w:szCs w:val="24"/>
                <w:lang w:val="en-US" w:eastAsia="zh-CN"/>
              </w:rPr>
              <w:t>记录的“政府</w:t>
            </w:r>
            <w:r>
              <w:rPr>
                <w:rFonts w:hint="eastAsia" w:ascii="华文仿宋" w:hAnsi="华文仿宋" w:cs="华文仿宋"/>
                <w:color w:val="auto"/>
                <w:kern w:val="28"/>
                <w:sz w:val="24"/>
                <w:szCs w:val="24"/>
              </w:rPr>
              <w:t>采购严重违法失信行为信息记录</w:t>
            </w:r>
            <w:r>
              <w:rPr>
                <w:rFonts w:hint="eastAsia" w:ascii="华文仿宋" w:hAnsi="华文仿宋" w:cs="华文仿宋"/>
                <w:color w:val="auto"/>
                <w:kern w:val="28"/>
                <w:sz w:val="24"/>
                <w:szCs w:val="24"/>
                <w:lang w:val="en-US" w:eastAsia="zh-CN"/>
              </w:rPr>
              <w:t>名单”</w:t>
            </w:r>
            <w:r>
              <w:rPr>
                <w:rFonts w:hint="eastAsia" w:ascii="华文仿宋" w:hAnsi="华文仿宋" w:cs="华文仿宋"/>
                <w:color w:val="auto"/>
                <w:kern w:val="28"/>
                <w:sz w:val="24"/>
                <w:szCs w:val="24"/>
              </w:rPr>
              <w:t>中的禁止参加政府采购活动期间。</w:t>
            </w:r>
          </w:p>
        </w:tc>
        <w:tc>
          <w:tcPr>
            <w:tcW w:w="684" w:type="dxa"/>
            <w:vAlign w:val="center"/>
          </w:tcPr>
          <w:p w14:paraId="71743155">
            <w:pPr>
              <w:spacing w:before="40" w:after="40" w:line="240" w:lineRule="auto"/>
              <w:rPr>
                <w:rFonts w:ascii="华文仿宋" w:hAnsi="华文仿宋" w:cs="华文仿宋"/>
                <w:b/>
                <w:color w:val="auto"/>
                <w:sz w:val="24"/>
                <w:szCs w:val="24"/>
              </w:rPr>
            </w:pPr>
          </w:p>
        </w:tc>
        <w:tc>
          <w:tcPr>
            <w:tcW w:w="1178" w:type="dxa"/>
            <w:vAlign w:val="center"/>
          </w:tcPr>
          <w:p w14:paraId="0B66C31B">
            <w:pPr>
              <w:spacing w:before="40" w:after="40" w:line="240" w:lineRule="auto"/>
              <w:rPr>
                <w:rFonts w:ascii="华文仿宋" w:hAnsi="华文仿宋" w:cs="华文仿宋"/>
                <w:b/>
                <w:color w:val="auto"/>
                <w:sz w:val="24"/>
                <w:szCs w:val="24"/>
              </w:rPr>
            </w:pPr>
          </w:p>
        </w:tc>
      </w:tr>
      <w:tr w14:paraId="6C7D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730" w:type="dxa"/>
            <w:vAlign w:val="center"/>
          </w:tcPr>
          <w:p w14:paraId="289BB0B6">
            <w:pPr>
              <w:spacing w:line="240" w:lineRule="auto"/>
              <w:jc w:val="center"/>
              <w:rPr>
                <w:rFonts w:hint="eastAsia" w:ascii="仿宋" w:hAnsi="仿宋" w:eastAsia="仿宋" w:cs="仿宋"/>
                <w:bCs/>
                <w:kern w:val="2"/>
                <w:sz w:val="24"/>
                <w:szCs w:val="24"/>
                <w:lang w:val="en-US" w:eastAsia="zh-CN" w:bidi="ar-SA"/>
              </w:rPr>
            </w:pPr>
            <w:r>
              <w:rPr>
                <w:rFonts w:hint="eastAsia" w:ascii="仿宋" w:hAnsi="仿宋" w:eastAsia="仿宋" w:cs="仿宋"/>
              </w:rPr>
              <w:t>6</w:t>
            </w:r>
          </w:p>
        </w:tc>
        <w:tc>
          <w:tcPr>
            <w:tcW w:w="1863" w:type="dxa"/>
            <w:vAlign w:val="center"/>
          </w:tcPr>
          <w:p w14:paraId="0701F2BD">
            <w:pPr>
              <w:spacing w:line="240" w:lineRule="auto"/>
              <w:rPr>
                <w:rFonts w:hint="eastAsia" w:ascii="华文仿宋" w:hAnsi="华文仿宋" w:eastAsia="华文仿宋" w:cs="华文仿宋"/>
                <w:kern w:val="28"/>
                <w:sz w:val="24"/>
                <w:szCs w:val="24"/>
                <w:lang w:val="en-US" w:eastAsia="zh-CN" w:bidi="ar-SA"/>
              </w:rPr>
            </w:pPr>
            <w:r>
              <w:rPr>
                <w:rFonts w:hint="eastAsia" w:ascii="华文仿宋" w:hAnsi="华文仿宋" w:eastAsia="华文仿宋" w:cs="华文仿宋"/>
                <w:kern w:val="28"/>
                <w:sz w:val="24"/>
                <w:szCs w:val="24"/>
              </w:rPr>
              <w:t>控股管理关系</w:t>
            </w:r>
          </w:p>
        </w:tc>
        <w:tc>
          <w:tcPr>
            <w:tcW w:w="4685" w:type="dxa"/>
            <w:vAlign w:val="center"/>
          </w:tcPr>
          <w:p w14:paraId="3E35E90D">
            <w:pPr>
              <w:spacing w:line="240" w:lineRule="auto"/>
              <w:rPr>
                <w:rFonts w:hint="eastAsia" w:ascii="华文仿宋" w:hAnsi="华文仿宋" w:eastAsia="华文仿宋" w:cs="华文仿宋"/>
                <w:kern w:val="28"/>
                <w:sz w:val="24"/>
                <w:szCs w:val="24"/>
                <w:lang w:val="en-US" w:eastAsia="zh-CN" w:bidi="ar-SA"/>
              </w:rPr>
            </w:pPr>
            <w:r>
              <w:rPr>
                <w:rFonts w:hint="eastAsia" w:ascii="华文仿宋" w:hAnsi="华文仿宋" w:eastAsia="华文仿宋" w:cs="华文仿宋"/>
                <w:kern w:val="28"/>
                <w:sz w:val="24"/>
                <w:szCs w:val="24"/>
              </w:rPr>
              <w:t>提供直接控股和管理关系清单。若与其他投标人存在单位负责人为同一人或者存在直接控股、管理关系的，则投标无效。</w:t>
            </w:r>
          </w:p>
        </w:tc>
        <w:tc>
          <w:tcPr>
            <w:tcW w:w="684" w:type="dxa"/>
            <w:vAlign w:val="center"/>
          </w:tcPr>
          <w:p w14:paraId="7E5D90A0">
            <w:pPr>
              <w:spacing w:before="40" w:after="40" w:line="240" w:lineRule="auto"/>
              <w:rPr>
                <w:rFonts w:ascii="华文仿宋" w:hAnsi="华文仿宋" w:cs="华文仿宋"/>
                <w:b/>
                <w:color w:val="auto"/>
                <w:sz w:val="24"/>
                <w:szCs w:val="24"/>
              </w:rPr>
            </w:pPr>
          </w:p>
        </w:tc>
        <w:tc>
          <w:tcPr>
            <w:tcW w:w="1178" w:type="dxa"/>
            <w:vAlign w:val="center"/>
          </w:tcPr>
          <w:p w14:paraId="3907E6FF">
            <w:pPr>
              <w:spacing w:before="40" w:after="40" w:line="240" w:lineRule="auto"/>
              <w:rPr>
                <w:rFonts w:ascii="华文仿宋" w:hAnsi="华文仿宋" w:cs="华文仿宋"/>
                <w:b/>
                <w:color w:val="auto"/>
                <w:sz w:val="24"/>
                <w:szCs w:val="24"/>
              </w:rPr>
            </w:pPr>
          </w:p>
        </w:tc>
      </w:tr>
      <w:tr w14:paraId="3EA2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730" w:type="dxa"/>
            <w:vAlign w:val="center"/>
          </w:tcPr>
          <w:p w14:paraId="01EECAD0">
            <w:pPr>
              <w:spacing w:line="240" w:lineRule="auto"/>
              <w:jc w:val="center"/>
              <w:rPr>
                <w:rFonts w:hint="eastAsia" w:ascii="华文仿宋" w:hAnsi="华文仿宋" w:eastAsia="华文仿宋" w:cs="华文仿宋"/>
                <w:bCs/>
                <w:color w:val="auto"/>
                <w:sz w:val="24"/>
                <w:szCs w:val="24"/>
                <w:lang w:val="en-US" w:eastAsia="zh-CN"/>
              </w:rPr>
            </w:pPr>
            <w:r>
              <w:rPr>
                <w:rFonts w:hint="eastAsia" w:ascii="仿宋" w:hAnsi="仿宋" w:eastAsia="仿宋" w:cs="仿宋"/>
                <w:bCs/>
                <w:sz w:val="24"/>
                <w:szCs w:val="24"/>
              </w:rPr>
              <w:t>7</w:t>
            </w:r>
          </w:p>
        </w:tc>
        <w:tc>
          <w:tcPr>
            <w:tcW w:w="1863" w:type="dxa"/>
            <w:vAlign w:val="center"/>
          </w:tcPr>
          <w:p w14:paraId="0D1D5FD8">
            <w:pPr>
              <w:spacing w:line="240" w:lineRule="auto"/>
              <w:rPr>
                <w:rFonts w:ascii="华文仿宋" w:hAnsi="华文仿宋" w:cs="华文仿宋"/>
                <w:color w:val="auto"/>
                <w:kern w:val="28"/>
                <w:sz w:val="24"/>
                <w:szCs w:val="24"/>
              </w:rPr>
            </w:pPr>
            <w:r>
              <w:rPr>
                <w:rFonts w:hint="eastAsia" w:ascii="华文仿宋" w:hAnsi="华文仿宋" w:eastAsia="华文仿宋" w:cs="华文仿宋"/>
                <w:kern w:val="28"/>
                <w:sz w:val="24"/>
                <w:szCs w:val="24"/>
              </w:rPr>
              <w:t>书面声明</w:t>
            </w:r>
          </w:p>
        </w:tc>
        <w:tc>
          <w:tcPr>
            <w:tcW w:w="4685" w:type="dxa"/>
            <w:vAlign w:val="center"/>
          </w:tcPr>
          <w:p w14:paraId="7634807C">
            <w:pPr>
              <w:spacing w:line="240" w:lineRule="auto"/>
              <w:rPr>
                <w:rFonts w:ascii="华文仿宋" w:hAnsi="华文仿宋" w:cs="华文仿宋"/>
                <w:color w:val="auto"/>
                <w:kern w:val="28"/>
                <w:sz w:val="24"/>
                <w:szCs w:val="24"/>
              </w:rPr>
            </w:pPr>
            <w:r>
              <w:rPr>
                <w:rFonts w:hint="eastAsia" w:ascii="华文仿宋" w:hAnsi="华文仿宋" w:eastAsia="华文仿宋" w:cs="华文仿宋"/>
                <w:kern w:val="28"/>
                <w:sz w:val="24"/>
                <w:szCs w:val="24"/>
              </w:rPr>
              <w:t>提供书面声明，包括声明具有履行合同所必需的设备和专业技术能力；未为本项目提供整体设计、规范编制或者项目管理、监理、检测等服务。若为信息系统采购项目，还需提供投标供应商及其母公司、附属单位未为该整体项目或其中分项目前期工作提供过设计、编制、管理等服务。</w:t>
            </w:r>
          </w:p>
        </w:tc>
        <w:tc>
          <w:tcPr>
            <w:tcW w:w="684" w:type="dxa"/>
            <w:vAlign w:val="center"/>
          </w:tcPr>
          <w:p w14:paraId="3916763C">
            <w:pPr>
              <w:spacing w:before="40" w:after="40" w:line="240" w:lineRule="auto"/>
              <w:rPr>
                <w:rFonts w:ascii="华文仿宋" w:hAnsi="华文仿宋" w:cs="华文仿宋"/>
                <w:b/>
                <w:color w:val="auto"/>
                <w:sz w:val="24"/>
                <w:szCs w:val="24"/>
              </w:rPr>
            </w:pPr>
          </w:p>
        </w:tc>
        <w:tc>
          <w:tcPr>
            <w:tcW w:w="1178" w:type="dxa"/>
            <w:vAlign w:val="center"/>
          </w:tcPr>
          <w:p w14:paraId="6866E77A">
            <w:pPr>
              <w:spacing w:before="40" w:after="40" w:line="240" w:lineRule="auto"/>
              <w:rPr>
                <w:rFonts w:ascii="华文仿宋" w:hAnsi="华文仿宋" w:cs="华文仿宋"/>
                <w:b/>
                <w:color w:val="auto"/>
                <w:sz w:val="24"/>
                <w:szCs w:val="24"/>
              </w:rPr>
            </w:pPr>
          </w:p>
        </w:tc>
      </w:tr>
      <w:tr w14:paraId="5DA7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730" w:type="dxa"/>
            <w:vAlign w:val="center"/>
          </w:tcPr>
          <w:p w14:paraId="0D420302">
            <w:pPr>
              <w:spacing w:line="240" w:lineRule="auto"/>
              <w:jc w:val="center"/>
              <w:rPr>
                <w:rFonts w:hint="eastAsia" w:ascii="华文仿宋" w:hAnsi="华文仿宋" w:eastAsia="华文仿宋" w:cs="华文仿宋"/>
                <w:bCs/>
                <w:color w:val="auto"/>
                <w:kern w:val="2"/>
                <w:sz w:val="24"/>
                <w:szCs w:val="24"/>
                <w:lang w:val="en-US" w:eastAsia="zh-CN" w:bidi="ar-SA"/>
              </w:rPr>
            </w:pPr>
            <w:r>
              <w:rPr>
                <w:rFonts w:hint="eastAsia" w:ascii="华文仿宋" w:hAnsi="华文仿宋" w:cs="华文仿宋"/>
                <w:bCs/>
                <w:color w:val="auto"/>
                <w:sz w:val="24"/>
                <w:szCs w:val="24"/>
                <w:lang w:val="en-US" w:eastAsia="zh-CN"/>
              </w:rPr>
              <w:t>8</w:t>
            </w:r>
          </w:p>
        </w:tc>
        <w:tc>
          <w:tcPr>
            <w:tcW w:w="1863" w:type="dxa"/>
            <w:vAlign w:val="center"/>
          </w:tcPr>
          <w:p w14:paraId="5C5CBA76">
            <w:pPr>
              <w:spacing w:line="240" w:lineRule="auto"/>
              <w:rPr>
                <w:rFonts w:hint="eastAsia" w:ascii="华文仿宋" w:hAnsi="华文仿宋" w:eastAsia="华文仿宋" w:cs="华文仿宋"/>
                <w:color w:val="auto"/>
                <w:kern w:val="28"/>
                <w:sz w:val="24"/>
                <w:szCs w:val="24"/>
                <w:lang w:val="en-US" w:eastAsia="zh-CN" w:bidi="ar-SA"/>
              </w:rPr>
            </w:pPr>
            <w:r>
              <w:rPr>
                <w:rFonts w:hint="eastAsia" w:ascii="华文仿宋" w:hAnsi="华文仿宋" w:cs="华文仿宋"/>
                <w:color w:val="auto"/>
                <w:kern w:val="28"/>
                <w:sz w:val="24"/>
                <w:szCs w:val="24"/>
              </w:rPr>
              <w:t>法定代表人授权委托书</w:t>
            </w:r>
          </w:p>
        </w:tc>
        <w:tc>
          <w:tcPr>
            <w:tcW w:w="4685" w:type="dxa"/>
            <w:vAlign w:val="center"/>
          </w:tcPr>
          <w:p w14:paraId="6509F060">
            <w:pPr>
              <w:spacing w:line="240" w:lineRule="auto"/>
              <w:rPr>
                <w:rFonts w:hint="eastAsia" w:ascii="华文仿宋" w:hAnsi="华文仿宋" w:eastAsia="华文仿宋" w:cs="华文仿宋"/>
                <w:color w:val="auto"/>
                <w:kern w:val="28"/>
                <w:sz w:val="24"/>
                <w:szCs w:val="24"/>
                <w:lang w:val="en-US" w:eastAsia="zh-CN" w:bidi="ar-SA"/>
              </w:rPr>
            </w:pPr>
            <w:r>
              <w:rPr>
                <w:rFonts w:hint="eastAsia" w:ascii="华文仿宋" w:hAnsi="华文仿宋" w:cs="华文仿宋"/>
                <w:color w:val="auto"/>
                <w:kern w:val="28"/>
                <w:sz w:val="24"/>
                <w:szCs w:val="24"/>
              </w:rPr>
              <w:t>法定代表人参加投标的，须提供本人身份证复印件（附在资格证明文件中）；法定代表人授权他人参加投标的，须提供法定代表人授权委托书（</w:t>
            </w:r>
            <w:r>
              <w:rPr>
                <w:rFonts w:hint="eastAsia" w:ascii="华文仿宋" w:hAnsi="华文仿宋" w:cs="华文仿宋"/>
                <w:color w:val="auto"/>
                <w:kern w:val="28"/>
                <w:sz w:val="24"/>
                <w:szCs w:val="24"/>
                <w:lang w:val="en-US" w:eastAsia="zh-CN"/>
              </w:rPr>
              <w:t>按格式填写，提供原件</w:t>
            </w:r>
            <w:r>
              <w:rPr>
                <w:rFonts w:hint="eastAsia" w:ascii="华文仿宋" w:hAnsi="华文仿宋" w:cs="华文仿宋"/>
                <w:color w:val="auto"/>
                <w:kern w:val="28"/>
                <w:sz w:val="24"/>
                <w:szCs w:val="24"/>
              </w:rPr>
              <w:t>）。磋商文件中凡是需要法定代表人盖章之处，非法人单位的负责人均参照执行。</w:t>
            </w:r>
          </w:p>
        </w:tc>
        <w:tc>
          <w:tcPr>
            <w:tcW w:w="684" w:type="dxa"/>
            <w:vAlign w:val="center"/>
          </w:tcPr>
          <w:p w14:paraId="5B9DC686">
            <w:pPr>
              <w:spacing w:before="40" w:after="40" w:line="240" w:lineRule="auto"/>
              <w:rPr>
                <w:rFonts w:ascii="华文仿宋" w:hAnsi="华文仿宋" w:cs="华文仿宋"/>
                <w:b/>
                <w:color w:val="auto"/>
                <w:sz w:val="24"/>
                <w:szCs w:val="24"/>
              </w:rPr>
            </w:pPr>
          </w:p>
        </w:tc>
        <w:tc>
          <w:tcPr>
            <w:tcW w:w="1178" w:type="dxa"/>
            <w:vAlign w:val="center"/>
          </w:tcPr>
          <w:p w14:paraId="0D3E5816">
            <w:pPr>
              <w:spacing w:before="40" w:after="40" w:line="240" w:lineRule="auto"/>
              <w:rPr>
                <w:rFonts w:ascii="华文仿宋" w:hAnsi="华文仿宋" w:cs="华文仿宋"/>
                <w:b/>
                <w:color w:val="auto"/>
                <w:sz w:val="24"/>
                <w:szCs w:val="24"/>
              </w:rPr>
            </w:pPr>
          </w:p>
        </w:tc>
      </w:tr>
      <w:tr w14:paraId="236B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14:paraId="43E9CC33">
            <w:pPr>
              <w:spacing w:line="240" w:lineRule="auto"/>
              <w:jc w:val="center"/>
              <w:rPr>
                <w:rFonts w:hint="default" w:ascii="华文仿宋" w:hAnsi="华文仿宋" w:cs="华文仿宋"/>
                <w:bCs/>
                <w:color w:val="auto"/>
                <w:sz w:val="24"/>
                <w:szCs w:val="24"/>
                <w:lang w:val="en-US" w:eastAsia="zh-CN"/>
              </w:rPr>
            </w:pPr>
            <w:r>
              <w:rPr>
                <w:rFonts w:hint="eastAsia" w:ascii="华文仿宋" w:hAnsi="华文仿宋" w:cs="华文仿宋"/>
                <w:bCs/>
                <w:color w:val="auto"/>
                <w:sz w:val="24"/>
                <w:szCs w:val="24"/>
                <w:lang w:val="en-US" w:eastAsia="zh-CN"/>
              </w:rPr>
              <w:t>9</w:t>
            </w:r>
          </w:p>
        </w:tc>
        <w:tc>
          <w:tcPr>
            <w:tcW w:w="1863" w:type="dxa"/>
            <w:vAlign w:val="center"/>
          </w:tcPr>
          <w:p w14:paraId="36CC65D9">
            <w:pPr>
              <w:spacing w:line="240" w:lineRule="auto"/>
              <w:rPr>
                <w:rFonts w:hint="eastAsia" w:ascii="华文仿宋" w:hAnsi="华文仿宋" w:eastAsia="华文仿宋" w:cs="华文仿宋"/>
                <w:kern w:val="28"/>
                <w:sz w:val="24"/>
                <w:szCs w:val="24"/>
                <w:lang w:val="en-US" w:eastAsia="zh-CN"/>
              </w:rPr>
            </w:pPr>
            <w:r>
              <w:rPr>
                <w:rFonts w:hint="eastAsia" w:ascii="华文仿宋" w:hAnsi="华文仿宋" w:cs="华文仿宋"/>
                <w:kern w:val="28"/>
                <w:sz w:val="24"/>
                <w:szCs w:val="24"/>
                <w:lang w:val="en-US" w:eastAsia="zh-CN"/>
              </w:rPr>
              <w:t>落实政府采购政策要求</w:t>
            </w:r>
          </w:p>
        </w:tc>
        <w:tc>
          <w:tcPr>
            <w:tcW w:w="4685" w:type="dxa"/>
            <w:vAlign w:val="center"/>
          </w:tcPr>
          <w:p w14:paraId="384E90D3">
            <w:pPr>
              <w:spacing w:line="240" w:lineRule="auto"/>
              <w:rPr>
                <w:rFonts w:hint="default" w:ascii="华文仿宋" w:hAnsi="华文仿宋" w:cs="华文仿宋"/>
                <w:color w:val="auto"/>
                <w:kern w:val="28"/>
                <w:sz w:val="24"/>
                <w:szCs w:val="24"/>
                <w:lang w:val="en-US" w:eastAsia="zh-CN"/>
              </w:rPr>
            </w:pPr>
            <w:r>
              <w:rPr>
                <w:rFonts w:hint="eastAsia" w:ascii="华文仿宋" w:hAnsi="华文仿宋" w:cs="华文仿宋"/>
                <w:color w:val="auto"/>
                <w:kern w:val="28"/>
                <w:sz w:val="24"/>
                <w:szCs w:val="24"/>
                <w:lang w:val="en-US" w:eastAsia="zh-CN"/>
              </w:rPr>
              <w:t>供应商应为中型企业或小型、微型企业或监狱企业或残疾人福利性单位。供应商为中型、小型、微型企业的，提供《中小企业声明函》，</w:t>
            </w:r>
            <w:r>
              <w:rPr>
                <w:rFonts w:hint="eastAsia" w:ascii="华文仿宋" w:hAnsi="华文仿宋" w:cs="华文仿宋"/>
                <w:color w:val="auto"/>
                <w:kern w:val="28"/>
                <w:sz w:val="24"/>
                <w:szCs w:val="24"/>
                <w:highlight w:val="none"/>
                <w:lang w:val="en-US" w:eastAsia="zh-CN"/>
              </w:rPr>
              <w:t>且中小企业的划分标准所属行业为物业管理；供</w:t>
            </w:r>
            <w:r>
              <w:rPr>
                <w:rFonts w:hint="eastAsia" w:ascii="华文仿宋" w:hAnsi="华文仿宋" w:cs="华文仿宋"/>
                <w:color w:val="auto"/>
                <w:kern w:val="28"/>
                <w:sz w:val="24"/>
                <w:szCs w:val="24"/>
                <w:lang w:val="en-US" w:eastAsia="zh-CN"/>
              </w:rPr>
              <w:t>应商为监狱企业的，应提供监狱企业的证明文件；供应商为残疾人福利性单位的，应提供《残疾人福利性单位声明函》。</w:t>
            </w:r>
          </w:p>
        </w:tc>
        <w:tc>
          <w:tcPr>
            <w:tcW w:w="684" w:type="dxa"/>
            <w:vAlign w:val="center"/>
          </w:tcPr>
          <w:p w14:paraId="1CC3AA81">
            <w:pPr>
              <w:spacing w:before="40" w:after="40" w:line="240" w:lineRule="auto"/>
              <w:rPr>
                <w:rFonts w:ascii="华文仿宋" w:hAnsi="华文仿宋" w:cs="华文仿宋"/>
                <w:b/>
                <w:color w:val="auto"/>
                <w:sz w:val="24"/>
                <w:szCs w:val="24"/>
              </w:rPr>
            </w:pPr>
          </w:p>
        </w:tc>
        <w:tc>
          <w:tcPr>
            <w:tcW w:w="1178" w:type="dxa"/>
            <w:vAlign w:val="center"/>
          </w:tcPr>
          <w:p w14:paraId="50DD3FB7">
            <w:pPr>
              <w:spacing w:before="40" w:after="40" w:line="240" w:lineRule="auto"/>
              <w:rPr>
                <w:rFonts w:ascii="华文仿宋" w:hAnsi="华文仿宋" w:cs="华文仿宋"/>
                <w:b/>
                <w:color w:val="auto"/>
                <w:sz w:val="24"/>
                <w:szCs w:val="24"/>
              </w:rPr>
            </w:pPr>
          </w:p>
        </w:tc>
      </w:tr>
      <w:tr w14:paraId="2E61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Align w:val="center"/>
          </w:tcPr>
          <w:p w14:paraId="1CC7C3E6">
            <w:pPr>
              <w:spacing w:line="240" w:lineRule="auto"/>
              <w:jc w:val="center"/>
              <w:rPr>
                <w:rFonts w:hint="default" w:ascii="华文仿宋" w:hAnsi="华文仿宋" w:eastAsia="华文仿宋" w:cs="华文仿宋"/>
                <w:bCs/>
                <w:color w:val="auto"/>
                <w:sz w:val="24"/>
                <w:szCs w:val="24"/>
                <w:lang w:val="en-US" w:eastAsia="zh-CN"/>
              </w:rPr>
            </w:pPr>
            <w:r>
              <w:rPr>
                <w:rFonts w:hint="eastAsia" w:ascii="华文仿宋" w:hAnsi="华文仿宋" w:cs="华文仿宋"/>
                <w:bCs/>
                <w:color w:val="auto"/>
                <w:sz w:val="24"/>
                <w:szCs w:val="24"/>
                <w:lang w:val="en-US" w:eastAsia="zh-CN"/>
              </w:rPr>
              <w:t>10</w:t>
            </w:r>
          </w:p>
        </w:tc>
        <w:tc>
          <w:tcPr>
            <w:tcW w:w="1863" w:type="dxa"/>
            <w:vAlign w:val="center"/>
          </w:tcPr>
          <w:p w14:paraId="35D3BAC9">
            <w:pPr>
              <w:spacing w:line="240" w:lineRule="auto"/>
              <w:rPr>
                <w:rFonts w:ascii="华文仿宋" w:hAnsi="华文仿宋" w:cs="华文仿宋"/>
                <w:color w:val="auto"/>
                <w:kern w:val="28"/>
                <w:sz w:val="24"/>
                <w:szCs w:val="24"/>
              </w:rPr>
            </w:pPr>
            <w:r>
              <w:rPr>
                <w:rFonts w:hint="eastAsia" w:ascii="华文仿宋" w:hAnsi="华文仿宋" w:cs="华文仿宋"/>
                <w:kern w:val="28"/>
                <w:sz w:val="24"/>
                <w:szCs w:val="24"/>
              </w:rPr>
              <w:t>特定资格要求</w:t>
            </w:r>
          </w:p>
        </w:tc>
        <w:tc>
          <w:tcPr>
            <w:tcW w:w="4685" w:type="dxa"/>
            <w:vAlign w:val="center"/>
          </w:tcPr>
          <w:p w14:paraId="2A46C141">
            <w:pPr>
              <w:numPr>
                <w:ilvl w:val="-1"/>
                <w:numId w:val="0"/>
              </w:numPr>
              <w:spacing w:line="240" w:lineRule="auto"/>
              <w:rPr>
                <w:rFonts w:hint="eastAsia" w:ascii="华文仿宋" w:hAnsi="华文仿宋" w:cs="华文仿宋"/>
                <w:color w:val="auto"/>
                <w:kern w:val="28"/>
                <w:sz w:val="24"/>
                <w:szCs w:val="24"/>
                <w:lang w:val="en-US" w:eastAsia="zh-CN"/>
              </w:rPr>
            </w:pPr>
            <w:r>
              <w:rPr>
                <w:rFonts w:hint="eastAsia" w:ascii="华文仿宋" w:hAnsi="华文仿宋" w:cs="华文仿宋"/>
                <w:color w:val="auto"/>
                <w:kern w:val="28"/>
                <w:sz w:val="24"/>
                <w:szCs w:val="24"/>
                <w:lang w:val="en-US" w:eastAsia="zh-CN"/>
              </w:rPr>
              <w:t xml:space="preserve">以下两种形式提供其中任意一种均可。 </w:t>
            </w:r>
          </w:p>
          <w:p w14:paraId="45D8BB57">
            <w:pPr>
              <w:numPr>
                <w:ilvl w:val="-1"/>
                <w:numId w:val="0"/>
              </w:numPr>
              <w:spacing w:line="240" w:lineRule="auto"/>
              <w:rPr>
                <w:rFonts w:hint="eastAsia" w:ascii="华文仿宋" w:hAnsi="华文仿宋" w:cs="华文仿宋"/>
                <w:color w:val="auto"/>
                <w:kern w:val="28"/>
                <w:sz w:val="24"/>
                <w:szCs w:val="24"/>
                <w:lang w:val="en-US" w:eastAsia="zh-CN"/>
              </w:rPr>
            </w:pPr>
            <w:r>
              <w:rPr>
                <w:rFonts w:hint="eastAsia" w:ascii="华文仿宋" w:hAnsi="华文仿宋" w:cs="华文仿宋"/>
                <w:color w:val="auto"/>
                <w:kern w:val="28"/>
                <w:sz w:val="24"/>
                <w:szCs w:val="24"/>
                <w:lang w:val="en-US" w:eastAsia="zh-CN"/>
              </w:rPr>
              <w:t xml:space="preserve">（1）自行招用保安员的物业服务企业应出具承诺书（承诺书形式不限），承诺自开始提供本项目服务之日起30日内向所在地设区的市级人民政府公安机关备案。 </w:t>
            </w:r>
          </w:p>
          <w:p w14:paraId="55356778">
            <w:pPr>
              <w:numPr>
                <w:ilvl w:val="-1"/>
                <w:numId w:val="0"/>
              </w:numPr>
              <w:spacing w:line="240" w:lineRule="auto"/>
              <w:rPr>
                <w:rFonts w:hint="eastAsia" w:ascii="华文仿宋" w:hAnsi="华文仿宋" w:cs="华文仿宋"/>
                <w:color w:val="auto"/>
                <w:kern w:val="28"/>
                <w:sz w:val="24"/>
                <w:szCs w:val="24"/>
              </w:rPr>
            </w:pPr>
            <w:r>
              <w:rPr>
                <w:rFonts w:hint="eastAsia" w:ascii="华文仿宋" w:hAnsi="华文仿宋" w:cs="华文仿宋"/>
                <w:color w:val="auto"/>
                <w:kern w:val="28"/>
                <w:sz w:val="24"/>
                <w:szCs w:val="24"/>
                <w:lang w:val="en-US" w:eastAsia="zh-CN"/>
              </w:rPr>
              <w:t>（2）从保安服务公司购买保安服务的供应商，需提供与保安服务公司签订的保安服务合同，明确规定服务的项目、内容以及双方的权利义务。</w:t>
            </w:r>
          </w:p>
        </w:tc>
        <w:tc>
          <w:tcPr>
            <w:tcW w:w="684" w:type="dxa"/>
            <w:vAlign w:val="center"/>
          </w:tcPr>
          <w:p w14:paraId="1F9C846E">
            <w:pPr>
              <w:spacing w:before="40" w:after="40" w:line="240" w:lineRule="auto"/>
              <w:rPr>
                <w:rFonts w:ascii="华文仿宋" w:hAnsi="华文仿宋" w:cs="华文仿宋"/>
                <w:b/>
                <w:color w:val="auto"/>
                <w:sz w:val="24"/>
                <w:szCs w:val="24"/>
              </w:rPr>
            </w:pPr>
          </w:p>
        </w:tc>
        <w:tc>
          <w:tcPr>
            <w:tcW w:w="1178" w:type="dxa"/>
            <w:vAlign w:val="center"/>
          </w:tcPr>
          <w:p w14:paraId="01E02266">
            <w:pPr>
              <w:spacing w:before="40" w:after="40" w:line="240" w:lineRule="auto"/>
              <w:rPr>
                <w:rFonts w:ascii="华文仿宋" w:hAnsi="华文仿宋" w:cs="华文仿宋"/>
                <w:b/>
                <w:color w:val="auto"/>
                <w:sz w:val="24"/>
                <w:szCs w:val="24"/>
              </w:rPr>
            </w:pPr>
          </w:p>
        </w:tc>
      </w:tr>
      <w:tr w14:paraId="5C79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30" w:type="dxa"/>
            <w:vAlign w:val="center"/>
          </w:tcPr>
          <w:p w14:paraId="18996009">
            <w:pPr>
              <w:spacing w:line="240" w:lineRule="auto"/>
              <w:jc w:val="center"/>
              <w:rPr>
                <w:rFonts w:hint="default" w:ascii="华文仿宋" w:hAnsi="华文仿宋" w:eastAsia="华文仿宋" w:cs="华文仿宋"/>
                <w:bCs/>
                <w:color w:val="auto"/>
                <w:kern w:val="2"/>
                <w:sz w:val="24"/>
                <w:szCs w:val="24"/>
                <w:lang w:val="en-US" w:eastAsia="zh-CN" w:bidi="ar-SA"/>
              </w:rPr>
            </w:pPr>
            <w:r>
              <w:rPr>
                <w:rFonts w:hint="eastAsia" w:ascii="华文仿宋" w:hAnsi="华文仿宋" w:cs="华文仿宋"/>
                <w:bCs/>
                <w:color w:val="auto"/>
                <w:kern w:val="2"/>
                <w:sz w:val="24"/>
                <w:szCs w:val="24"/>
                <w:lang w:val="en-US" w:eastAsia="zh-CN" w:bidi="ar-SA"/>
              </w:rPr>
              <w:t>11</w:t>
            </w:r>
          </w:p>
        </w:tc>
        <w:tc>
          <w:tcPr>
            <w:tcW w:w="1863" w:type="dxa"/>
            <w:vAlign w:val="center"/>
          </w:tcPr>
          <w:p w14:paraId="7129ED42">
            <w:pPr>
              <w:spacing w:line="240" w:lineRule="auto"/>
              <w:rPr>
                <w:rFonts w:hint="default" w:ascii="华文仿宋" w:hAnsi="华文仿宋" w:eastAsia="华文仿宋" w:cs="华文仿宋"/>
                <w:color w:val="auto"/>
                <w:kern w:val="28"/>
                <w:sz w:val="24"/>
                <w:szCs w:val="24"/>
                <w:lang w:val="en-US" w:eastAsia="zh-CN" w:bidi="ar-SA"/>
              </w:rPr>
            </w:pPr>
            <w:r>
              <w:rPr>
                <w:rFonts w:hint="eastAsia" w:ascii="华文仿宋" w:hAnsi="华文仿宋" w:cs="华文仿宋"/>
                <w:color w:val="auto"/>
                <w:kern w:val="28"/>
                <w:sz w:val="24"/>
                <w:szCs w:val="24"/>
              </w:rPr>
              <w:t>本项目不接受联合体响应</w:t>
            </w:r>
            <w:r>
              <w:rPr>
                <w:rFonts w:hint="eastAsia" w:ascii="华文仿宋" w:hAnsi="华文仿宋" w:cs="华文仿宋"/>
                <w:color w:val="auto"/>
                <w:kern w:val="28"/>
                <w:sz w:val="24"/>
                <w:szCs w:val="24"/>
                <w:lang w:eastAsia="zh-CN"/>
              </w:rPr>
              <w:t>，</w:t>
            </w:r>
            <w:r>
              <w:rPr>
                <w:rFonts w:hint="eastAsia" w:ascii="华文仿宋" w:hAnsi="华文仿宋" w:cs="华文仿宋"/>
                <w:color w:val="auto"/>
                <w:kern w:val="28"/>
                <w:sz w:val="24"/>
                <w:szCs w:val="24"/>
                <w:lang w:val="en-US" w:eastAsia="zh-CN"/>
              </w:rPr>
              <w:t>不允许分包。</w:t>
            </w:r>
          </w:p>
        </w:tc>
        <w:tc>
          <w:tcPr>
            <w:tcW w:w="4685" w:type="dxa"/>
            <w:vAlign w:val="center"/>
          </w:tcPr>
          <w:p w14:paraId="0C0AF0CF">
            <w:pPr>
              <w:spacing w:line="240" w:lineRule="auto"/>
              <w:rPr>
                <w:rFonts w:hint="eastAsia" w:ascii="华文仿宋" w:hAnsi="华文仿宋" w:eastAsia="华文仿宋" w:cs="华文仿宋"/>
                <w:color w:val="auto"/>
                <w:kern w:val="28"/>
                <w:sz w:val="24"/>
                <w:szCs w:val="24"/>
                <w:lang w:val="en-US" w:eastAsia="zh-CN" w:bidi="ar-SA"/>
              </w:rPr>
            </w:pPr>
            <w:r>
              <w:rPr>
                <w:rFonts w:hint="eastAsia" w:ascii="宋体" w:hAnsi="宋体"/>
                <w:color w:val="auto"/>
                <w:sz w:val="24"/>
                <w:szCs w:val="24"/>
              </w:rPr>
              <w:t>符合磋商文件要求</w:t>
            </w:r>
            <w:r>
              <w:rPr>
                <w:rFonts w:hint="eastAsia" w:ascii="华文仿宋" w:hAnsi="华文仿宋" w:cs="华文仿宋"/>
                <w:color w:val="auto"/>
                <w:sz w:val="24"/>
                <w:szCs w:val="24"/>
              </w:rPr>
              <w:t>（如供应商</w:t>
            </w:r>
            <w:r>
              <w:rPr>
                <w:rFonts w:hint="eastAsia" w:ascii="华文仿宋" w:hAnsi="华文仿宋" w:cs="华文仿宋"/>
                <w:color w:val="auto"/>
                <w:sz w:val="24"/>
                <w:szCs w:val="24"/>
                <w:lang w:val="en-US" w:eastAsia="zh-CN"/>
              </w:rPr>
              <w:t>提供《非联合体不分包投标声明》，视为独立投标不分包；如供应商提供</w:t>
            </w:r>
            <w:r>
              <w:rPr>
                <w:rFonts w:hint="eastAsia" w:ascii="华文仿宋" w:hAnsi="华文仿宋" w:cs="华文仿宋"/>
                <w:color w:val="auto"/>
                <w:sz w:val="24"/>
                <w:szCs w:val="24"/>
              </w:rPr>
              <w:t>联合体协议则视为联合体投标</w:t>
            </w:r>
            <w:r>
              <w:rPr>
                <w:rFonts w:hint="eastAsia" w:ascii="华文仿宋" w:hAnsi="华文仿宋" w:cs="华文仿宋"/>
                <w:color w:val="auto"/>
                <w:sz w:val="24"/>
                <w:szCs w:val="24"/>
                <w:lang w:eastAsia="zh-CN"/>
              </w:rPr>
              <w:t>；</w:t>
            </w:r>
            <w:r>
              <w:rPr>
                <w:rFonts w:hint="eastAsia" w:ascii="华文仿宋" w:hAnsi="华文仿宋" w:cs="华文仿宋"/>
                <w:color w:val="auto"/>
                <w:sz w:val="24"/>
                <w:szCs w:val="24"/>
                <w:lang w:val="en-US" w:eastAsia="zh-CN"/>
              </w:rPr>
              <w:t>如供应商提供分包意向协议则视为分包</w:t>
            </w:r>
            <w:r>
              <w:rPr>
                <w:rFonts w:hint="eastAsia" w:ascii="华文仿宋" w:hAnsi="华文仿宋" w:cs="华文仿宋"/>
                <w:color w:val="auto"/>
                <w:sz w:val="24"/>
                <w:szCs w:val="24"/>
              </w:rPr>
              <w:t>）</w:t>
            </w:r>
            <w:r>
              <w:rPr>
                <w:rFonts w:hint="eastAsia" w:ascii="宋体" w:hAnsi="宋体"/>
                <w:color w:val="auto"/>
                <w:sz w:val="24"/>
                <w:szCs w:val="24"/>
              </w:rPr>
              <w:t>。</w:t>
            </w:r>
          </w:p>
        </w:tc>
        <w:tc>
          <w:tcPr>
            <w:tcW w:w="684" w:type="dxa"/>
            <w:vAlign w:val="center"/>
          </w:tcPr>
          <w:p w14:paraId="72EB80FE">
            <w:pPr>
              <w:spacing w:before="40" w:after="40" w:line="240" w:lineRule="auto"/>
              <w:rPr>
                <w:rFonts w:ascii="华文仿宋" w:hAnsi="华文仿宋" w:cs="华文仿宋"/>
                <w:b/>
                <w:color w:val="auto"/>
                <w:sz w:val="24"/>
                <w:szCs w:val="24"/>
              </w:rPr>
            </w:pPr>
          </w:p>
        </w:tc>
        <w:tc>
          <w:tcPr>
            <w:tcW w:w="1178" w:type="dxa"/>
            <w:vAlign w:val="center"/>
          </w:tcPr>
          <w:p w14:paraId="1C3035B7">
            <w:pPr>
              <w:spacing w:before="40" w:after="40" w:line="240" w:lineRule="auto"/>
              <w:rPr>
                <w:rFonts w:ascii="华文仿宋" w:hAnsi="华文仿宋" w:cs="华文仿宋"/>
                <w:b/>
                <w:color w:val="auto"/>
                <w:sz w:val="24"/>
                <w:szCs w:val="24"/>
              </w:rPr>
            </w:pPr>
          </w:p>
        </w:tc>
      </w:tr>
      <w:tr w14:paraId="7502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40" w:type="dxa"/>
            <w:gridSpan w:val="5"/>
            <w:vAlign w:val="center"/>
          </w:tcPr>
          <w:p w14:paraId="3D3C48DF">
            <w:pPr>
              <w:spacing w:line="240" w:lineRule="auto"/>
              <w:rPr>
                <w:rFonts w:ascii="华文仿宋" w:hAnsi="华文仿宋" w:cs="华文仿宋"/>
                <w:b/>
                <w:color w:val="auto"/>
                <w:sz w:val="24"/>
                <w:szCs w:val="24"/>
              </w:rPr>
            </w:pPr>
            <w:r>
              <w:rPr>
                <w:rFonts w:hint="eastAsia" w:ascii="华文仿宋" w:hAnsi="华文仿宋" w:cs="华文仿宋"/>
                <w:b/>
                <w:bCs/>
                <w:color w:val="auto"/>
                <w:kern w:val="0"/>
                <w:sz w:val="24"/>
                <w:szCs w:val="24"/>
              </w:rPr>
              <w:t>磋商小组成员：（签字或盖章）</w:t>
            </w:r>
          </w:p>
        </w:tc>
      </w:tr>
    </w:tbl>
    <w:p w14:paraId="7993B460">
      <w:pPr>
        <w:spacing w:line="500" w:lineRule="exact"/>
        <w:ind w:firstLine="566" w:firstLineChars="200"/>
        <w:rPr>
          <w:rFonts w:ascii="Calibri" w:hAnsi="Calibri"/>
          <w:b/>
          <w:bCs/>
          <w:color w:val="auto"/>
        </w:rPr>
      </w:pPr>
      <w:r>
        <w:rPr>
          <w:rFonts w:hint="eastAsia" w:ascii="Calibri" w:hAnsi="Calibri"/>
          <w:b/>
          <w:bCs/>
          <w:color w:val="auto"/>
        </w:rPr>
        <w:t>出现下列情形的，响应文件将被视为无效：</w:t>
      </w:r>
    </w:p>
    <w:p w14:paraId="2445AF7C">
      <w:pPr>
        <w:spacing w:line="500" w:lineRule="exact"/>
        <w:ind w:firstLine="566" w:firstLineChars="200"/>
        <w:rPr>
          <w:rFonts w:ascii="Calibri" w:hAnsi="Calibri"/>
          <w:color w:val="auto"/>
        </w:rPr>
      </w:pPr>
      <w:r>
        <w:rPr>
          <w:rFonts w:ascii="Calibri" w:hAnsi="Calibri"/>
          <w:color w:val="auto"/>
        </w:rPr>
        <w:t>（</w:t>
      </w:r>
      <w:r>
        <w:rPr>
          <w:rFonts w:hint="eastAsia" w:ascii="Calibri" w:hAnsi="Calibri"/>
          <w:color w:val="auto"/>
        </w:rPr>
        <w:t>1</w:t>
      </w:r>
      <w:r>
        <w:rPr>
          <w:rFonts w:ascii="Calibri" w:hAnsi="Calibri"/>
          <w:color w:val="auto"/>
        </w:rPr>
        <w:t>）</w:t>
      </w:r>
      <w:r>
        <w:rPr>
          <w:rFonts w:hint="eastAsia" w:ascii="Calibri" w:hAnsi="Calibri"/>
          <w:color w:val="auto"/>
        </w:rPr>
        <w:t>不具备磋商文件中规定的资格要求的；</w:t>
      </w:r>
    </w:p>
    <w:p w14:paraId="25B6CD23">
      <w:pPr>
        <w:spacing w:line="500" w:lineRule="exact"/>
        <w:ind w:firstLine="566" w:firstLineChars="200"/>
        <w:rPr>
          <w:rFonts w:ascii="Calibri" w:hAnsi="Calibri"/>
          <w:color w:val="auto"/>
        </w:rPr>
      </w:pPr>
      <w:r>
        <w:rPr>
          <w:rFonts w:hint="eastAsia" w:ascii="Calibri" w:hAnsi="Calibri"/>
          <w:color w:val="auto"/>
        </w:rPr>
        <w:t>（</w:t>
      </w:r>
      <w:r>
        <w:rPr>
          <w:rFonts w:ascii="Calibri" w:hAnsi="Calibri"/>
          <w:color w:val="auto"/>
        </w:rPr>
        <w:t>2</w:t>
      </w:r>
      <w:r>
        <w:rPr>
          <w:rFonts w:hint="eastAsia" w:ascii="Calibri" w:hAnsi="Calibri"/>
          <w:color w:val="auto"/>
        </w:rPr>
        <w:t>）未按磋商文件要求提供</w:t>
      </w:r>
      <w:r>
        <w:rPr>
          <w:color w:val="auto"/>
        </w:rPr>
        <w:t>资格</w:t>
      </w:r>
      <w:r>
        <w:rPr>
          <w:rFonts w:hint="eastAsia"/>
          <w:color w:val="auto"/>
        </w:rPr>
        <w:t>证明文件</w:t>
      </w:r>
      <w:r>
        <w:rPr>
          <w:rFonts w:hint="eastAsia" w:ascii="Calibri" w:hAnsi="Calibri"/>
          <w:color w:val="auto"/>
        </w:rPr>
        <w:t>原件，或未按磋商文件要求加盖公章的；</w:t>
      </w:r>
    </w:p>
    <w:p w14:paraId="143A186A">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color w:val="auto"/>
          <w:highlight w:val="none"/>
        </w:rPr>
      </w:pPr>
      <w:r>
        <w:rPr>
          <w:rFonts w:ascii="Calibri" w:hAnsi="Calibri"/>
          <w:color w:val="auto"/>
        </w:rPr>
        <w:t>（3）</w:t>
      </w:r>
      <w:r>
        <w:rPr>
          <w:rFonts w:hint="eastAsia" w:ascii="Calibri" w:hAnsi="Calibri"/>
          <w:color w:val="auto"/>
          <w:highlight w:val="none"/>
        </w:rPr>
        <w:t>磋商小组认为供应商的资格证明文件存在疑点，</w:t>
      </w:r>
      <w:r>
        <w:rPr>
          <w:rFonts w:hint="eastAsia"/>
          <w:color w:val="auto"/>
          <w:highlight w:val="none"/>
        </w:rPr>
        <w:t>要求供应商现场提供原件，供应商不能在规定时限内提供符合磋商文件要求的证明文件的。</w:t>
      </w:r>
    </w:p>
    <w:p w14:paraId="526E032A">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华文仿宋" w:hAnsi="华文仿宋" w:eastAsia="华文仿宋" w:cs="华文仿宋"/>
          <w:color w:val="auto"/>
          <w:highlight w:val="none"/>
        </w:rPr>
        <w:t>资格审查结束后，磋商小组成员应当对审查结果进行签字确认，并</w:t>
      </w:r>
      <w:r>
        <w:rPr>
          <w:rFonts w:hint="eastAsia" w:ascii="华文仿宋" w:hAnsi="华文仿宋" w:cs="华文仿宋"/>
          <w:color w:val="auto"/>
          <w:highlight w:val="none"/>
        </w:rPr>
        <w:t>告知有关供应商未通过审查的原因。</w:t>
      </w:r>
    </w:p>
    <w:p w14:paraId="06462612">
      <w:pPr>
        <w:pStyle w:val="3"/>
        <w:keepNext w:val="0"/>
        <w:keepLines w:val="0"/>
        <w:pageBreakBefore w:val="0"/>
        <w:widowControl/>
        <w:kinsoku/>
        <w:wordWrap/>
        <w:overflowPunct/>
        <w:topLinePunct w:val="0"/>
        <w:autoSpaceDE/>
        <w:autoSpaceDN/>
        <w:bidi w:val="0"/>
        <w:adjustRightInd/>
        <w:snapToGrid/>
        <w:spacing w:after="0" w:line="500" w:lineRule="exact"/>
        <w:ind w:firstLine="566" w:firstLineChars="200"/>
        <w:textAlignment w:val="auto"/>
        <w:rPr>
          <w:rFonts w:hint="eastAsia" w:eastAsia="华文仿宋"/>
          <w:lang w:eastAsia="zh-CN"/>
        </w:rPr>
      </w:pPr>
      <w:r>
        <w:rPr>
          <w:rFonts w:hint="eastAsia" w:ascii="华文仿宋" w:hAnsi="华文仿宋" w:cs="华文仿宋"/>
          <w:color w:val="auto"/>
          <w:highlight w:val="none"/>
          <w:lang w:eastAsia="zh-CN"/>
        </w:rPr>
        <w:t>通过资格审查的供应商不足三家的，不得进行符合性审查。</w:t>
      </w:r>
    </w:p>
    <w:p w14:paraId="0E24583A">
      <w:pPr>
        <w:spacing w:line="500" w:lineRule="exact"/>
        <w:ind w:firstLine="566" w:firstLineChars="200"/>
        <w:rPr>
          <w:rFonts w:ascii="华文仿宋" w:hAnsi="华文仿宋" w:cs="华文仿宋"/>
          <w:b/>
          <w:bCs/>
          <w:color w:val="auto"/>
        </w:rPr>
      </w:pPr>
      <w:r>
        <w:rPr>
          <w:rFonts w:hint="eastAsia" w:ascii="华文仿宋" w:hAnsi="华文仿宋" w:cs="华文仿宋"/>
          <w:b/>
          <w:bCs/>
          <w:color w:val="auto"/>
        </w:rPr>
        <w:t>2、响应文件的符合性审查</w:t>
      </w:r>
    </w:p>
    <w:p w14:paraId="2014BD7E">
      <w:pPr>
        <w:spacing w:line="500" w:lineRule="exact"/>
        <w:ind w:firstLine="566" w:firstLineChars="200"/>
        <w:rPr>
          <w:rFonts w:ascii="华文仿宋" w:hAnsi="华文仿宋" w:cs="华文仿宋"/>
          <w:color w:val="auto"/>
        </w:rPr>
      </w:pPr>
      <w:r>
        <w:rPr>
          <w:rFonts w:hint="eastAsia" w:ascii="华文仿宋" w:hAnsi="华文仿宋" w:cs="华文仿宋"/>
          <w:color w:val="auto"/>
        </w:rPr>
        <w:t>磋商</w:t>
      </w:r>
      <w:r>
        <w:rPr>
          <w:rFonts w:ascii="华文仿宋" w:hAnsi="华文仿宋" w:cs="华文仿宋"/>
          <w:color w:val="auto"/>
        </w:rPr>
        <w:t>小组</w:t>
      </w:r>
      <w:r>
        <w:rPr>
          <w:rFonts w:hint="eastAsia" w:ascii="华文仿宋" w:hAnsi="华文仿宋" w:cs="华文仿宋"/>
          <w:color w:val="auto"/>
        </w:rPr>
        <w:t>依据磋商文件的规定，对响应文件的有效性、完整性和对磋商文件的响应程度进行审查，以确定是否对磋商文件的全部实质性要求做出响应。</w:t>
      </w:r>
    </w:p>
    <w:p w14:paraId="7A042364">
      <w:pPr>
        <w:tabs>
          <w:tab w:val="center" w:pos="4153"/>
          <w:tab w:val="right" w:pos="8306"/>
        </w:tabs>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磋商小组要审查每份响应文件是否实质上响应了磋商文件的要求。实质上没有响应磋商文件要求的响应文件作无效响应处理，磋商小组应告知有关供应商未通过审查的原因。供应商不得通过修正或撤销不符之处而使其成为实质上响应。</w:t>
      </w:r>
    </w:p>
    <w:p w14:paraId="580E7E3D">
      <w:pPr>
        <w:spacing w:line="500" w:lineRule="exact"/>
        <w:ind w:firstLine="566" w:firstLineChars="200"/>
        <w:jc w:val="center"/>
        <w:rPr>
          <w:rFonts w:ascii="华文仿宋" w:hAnsi="华文仿宋" w:cs="华文仿宋"/>
          <w:b/>
          <w:bCs/>
          <w:color w:val="auto"/>
        </w:rPr>
      </w:pPr>
      <w:r>
        <w:rPr>
          <w:rFonts w:hint="eastAsia" w:ascii="华文仿宋" w:hAnsi="华文仿宋" w:cs="华文仿宋"/>
          <w:b/>
          <w:bCs/>
          <w:color w:val="auto"/>
        </w:rPr>
        <w:t>响应文件的符合性审查</w:t>
      </w:r>
    </w:p>
    <w:tbl>
      <w:tblPr>
        <w:tblStyle w:val="23"/>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31"/>
        <w:gridCol w:w="4172"/>
        <w:gridCol w:w="910"/>
        <w:gridCol w:w="1440"/>
      </w:tblGrid>
      <w:tr w14:paraId="76EB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D9D9D9"/>
            <w:vAlign w:val="center"/>
          </w:tcPr>
          <w:p w14:paraId="3E6334FB">
            <w:pPr>
              <w:spacing w:line="32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2431" w:type="dxa"/>
            <w:shd w:val="clear" w:color="auto" w:fill="D9D9D9"/>
            <w:vAlign w:val="center"/>
          </w:tcPr>
          <w:p w14:paraId="1216D832">
            <w:pPr>
              <w:spacing w:line="32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4172" w:type="dxa"/>
            <w:shd w:val="clear" w:color="auto" w:fill="D9D9D9"/>
            <w:vAlign w:val="center"/>
          </w:tcPr>
          <w:p w14:paraId="06E526D1">
            <w:pPr>
              <w:spacing w:line="32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910" w:type="dxa"/>
            <w:shd w:val="clear" w:color="auto" w:fill="D9D9D9"/>
            <w:vAlign w:val="center"/>
          </w:tcPr>
          <w:p w14:paraId="47D0CAB7">
            <w:pPr>
              <w:spacing w:line="32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结论</w:t>
            </w:r>
          </w:p>
        </w:tc>
        <w:tc>
          <w:tcPr>
            <w:tcW w:w="1440" w:type="dxa"/>
            <w:shd w:val="clear" w:color="auto" w:fill="D9D9D9"/>
            <w:vAlign w:val="center"/>
          </w:tcPr>
          <w:p w14:paraId="15D15DE2">
            <w:pPr>
              <w:spacing w:line="32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412F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4" w:type="dxa"/>
            <w:vAlign w:val="center"/>
          </w:tcPr>
          <w:p w14:paraId="14DE5BA5">
            <w:pPr>
              <w:spacing w:line="320" w:lineRule="exact"/>
              <w:jc w:val="center"/>
              <w:rPr>
                <w:rFonts w:ascii="宋体" w:hAnsi="宋体" w:cs="宋体"/>
                <w:bCs/>
                <w:color w:val="auto"/>
                <w:kern w:val="0"/>
                <w:sz w:val="24"/>
                <w:szCs w:val="24"/>
              </w:rPr>
            </w:pPr>
            <w:r>
              <w:rPr>
                <w:rFonts w:hint="eastAsia" w:ascii="仿宋" w:hAnsi="仿宋" w:eastAsia="仿宋" w:cs="仿宋"/>
                <w:bCs/>
                <w:color w:val="auto"/>
                <w:kern w:val="0"/>
                <w:sz w:val="24"/>
                <w:szCs w:val="24"/>
              </w:rPr>
              <w:t>1</w:t>
            </w:r>
          </w:p>
        </w:tc>
        <w:tc>
          <w:tcPr>
            <w:tcW w:w="2431" w:type="dxa"/>
            <w:vAlign w:val="center"/>
          </w:tcPr>
          <w:p w14:paraId="1B7CE4EF">
            <w:pPr>
              <w:spacing w:line="320" w:lineRule="exact"/>
              <w:jc w:val="left"/>
              <w:rPr>
                <w:rFonts w:ascii="宋体" w:hAnsi="宋体" w:cs="宋体"/>
                <w:bCs/>
                <w:color w:val="auto"/>
                <w:kern w:val="0"/>
                <w:sz w:val="24"/>
                <w:szCs w:val="24"/>
              </w:rPr>
            </w:pPr>
            <w:r>
              <w:rPr>
                <w:rFonts w:hint="eastAsia" w:ascii="宋体" w:hAnsi="宋体" w:cs="宋体"/>
                <w:bCs/>
                <w:color w:val="auto"/>
                <w:kern w:val="0"/>
                <w:sz w:val="24"/>
                <w:szCs w:val="24"/>
              </w:rPr>
              <w:t>响应文件语言</w:t>
            </w:r>
            <w:r>
              <w:rPr>
                <w:rFonts w:hint="eastAsia" w:ascii="宋体" w:hAnsi="宋体" w:cs="宋体"/>
                <w:bCs/>
                <w:color w:val="auto"/>
                <w:kern w:val="0"/>
                <w:sz w:val="24"/>
                <w:szCs w:val="24"/>
                <w:lang w:val="en-US" w:eastAsia="zh-CN"/>
              </w:rPr>
              <w:t>及</w:t>
            </w:r>
            <w:r>
              <w:rPr>
                <w:rFonts w:hint="eastAsia" w:ascii="宋体" w:hAnsi="宋体" w:cs="宋体"/>
                <w:bCs/>
                <w:color w:val="auto"/>
                <w:kern w:val="0"/>
                <w:sz w:val="24"/>
                <w:szCs w:val="24"/>
              </w:rPr>
              <w:t>有效期</w:t>
            </w:r>
          </w:p>
        </w:tc>
        <w:tc>
          <w:tcPr>
            <w:tcW w:w="4172" w:type="dxa"/>
            <w:vAlign w:val="center"/>
          </w:tcPr>
          <w:p w14:paraId="17C173E4">
            <w:pPr>
              <w:spacing w:line="320" w:lineRule="exact"/>
              <w:jc w:val="left"/>
              <w:rPr>
                <w:rFonts w:ascii="宋体" w:hAnsi="宋体"/>
                <w:color w:val="auto"/>
                <w:sz w:val="24"/>
                <w:szCs w:val="24"/>
              </w:rPr>
            </w:pPr>
            <w:r>
              <w:rPr>
                <w:rFonts w:hint="eastAsia" w:ascii="宋体" w:hAnsi="宋体"/>
                <w:color w:val="auto"/>
                <w:sz w:val="24"/>
                <w:szCs w:val="24"/>
              </w:rPr>
              <w:t>响应文件语言</w:t>
            </w:r>
            <w:r>
              <w:rPr>
                <w:rFonts w:hint="eastAsia" w:ascii="宋体" w:hAnsi="宋体" w:cs="宋体"/>
                <w:bCs/>
                <w:color w:val="auto"/>
                <w:kern w:val="0"/>
                <w:sz w:val="24"/>
                <w:szCs w:val="24"/>
                <w:lang w:val="en-US" w:eastAsia="zh-CN"/>
              </w:rPr>
              <w:t>及</w:t>
            </w:r>
            <w:r>
              <w:rPr>
                <w:rFonts w:hint="eastAsia" w:ascii="宋体" w:hAnsi="宋体" w:cs="宋体"/>
                <w:bCs/>
                <w:color w:val="auto"/>
                <w:kern w:val="0"/>
                <w:sz w:val="24"/>
                <w:szCs w:val="24"/>
              </w:rPr>
              <w:t>有效期</w:t>
            </w:r>
            <w:r>
              <w:rPr>
                <w:rFonts w:hint="eastAsia" w:ascii="宋体" w:hAnsi="宋体"/>
                <w:color w:val="auto"/>
                <w:sz w:val="24"/>
                <w:szCs w:val="24"/>
              </w:rPr>
              <w:t>符合磋商文件要求。</w:t>
            </w:r>
          </w:p>
        </w:tc>
        <w:tc>
          <w:tcPr>
            <w:tcW w:w="910" w:type="dxa"/>
            <w:vAlign w:val="center"/>
          </w:tcPr>
          <w:p w14:paraId="688700CA">
            <w:pPr>
              <w:spacing w:line="320" w:lineRule="exact"/>
              <w:jc w:val="center"/>
              <w:rPr>
                <w:rFonts w:ascii="宋体" w:hAnsi="宋体" w:cs="宋体"/>
                <w:b/>
                <w:bCs/>
                <w:color w:val="auto"/>
                <w:kern w:val="0"/>
                <w:sz w:val="24"/>
                <w:szCs w:val="24"/>
              </w:rPr>
            </w:pPr>
          </w:p>
        </w:tc>
        <w:tc>
          <w:tcPr>
            <w:tcW w:w="1440" w:type="dxa"/>
            <w:vAlign w:val="center"/>
          </w:tcPr>
          <w:p w14:paraId="6D896817">
            <w:pPr>
              <w:spacing w:line="320" w:lineRule="exact"/>
              <w:jc w:val="center"/>
              <w:rPr>
                <w:rFonts w:ascii="宋体" w:hAnsi="宋体" w:cs="宋体"/>
                <w:b/>
                <w:bCs/>
                <w:color w:val="auto"/>
                <w:kern w:val="0"/>
                <w:sz w:val="24"/>
                <w:szCs w:val="24"/>
              </w:rPr>
            </w:pPr>
          </w:p>
        </w:tc>
      </w:tr>
      <w:tr w14:paraId="43AD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04" w:type="dxa"/>
            <w:vAlign w:val="center"/>
          </w:tcPr>
          <w:p w14:paraId="5B571736">
            <w:pPr>
              <w:spacing w:line="320" w:lineRule="exact"/>
              <w:jc w:val="center"/>
              <w:rPr>
                <w:rFonts w:ascii="宋体" w:hAnsi="宋体" w:cs="宋体"/>
                <w:bCs/>
                <w:color w:val="auto"/>
                <w:kern w:val="0"/>
                <w:sz w:val="24"/>
                <w:szCs w:val="24"/>
              </w:rPr>
            </w:pPr>
            <w:r>
              <w:rPr>
                <w:rFonts w:hint="eastAsia" w:ascii="仿宋" w:hAnsi="仿宋" w:eastAsia="仿宋" w:cs="仿宋"/>
                <w:bCs/>
                <w:color w:val="auto"/>
                <w:kern w:val="0"/>
                <w:sz w:val="24"/>
                <w:szCs w:val="24"/>
              </w:rPr>
              <w:t>2</w:t>
            </w:r>
          </w:p>
        </w:tc>
        <w:tc>
          <w:tcPr>
            <w:tcW w:w="2431" w:type="dxa"/>
            <w:vAlign w:val="center"/>
          </w:tcPr>
          <w:p w14:paraId="2436C906">
            <w:pPr>
              <w:spacing w:line="320" w:lineRule="exact"/>
              <w:jc w:val="left"/>
              <w:rPr>
                <w:rFonts w:ascii="宋体" w:hAnsi="宋体" w:cs="宋体"/>
                <w:bCs/>
                <w:color w:val="auto"/>
                <w:kern w:val="0"/>
                <w:sz w:val="24"/>
                <w:szCs w:val="24"/>
              </w:rPr>
            </w:pPr>
            <w:r>
              <w:rPr>
                <w:rFonts w:hint="eastAsia" w:ascii="宋体" w:hAnsi="宋体" w:cs="宋体"/>
                <w:bCs/>
                <w:color w:val="auto"/>
                <w:kern w:val="0"/>
                <w:sz w:val="24"/>
                <w:szCs w:val="24"/>
              </w:rPr>
              <w:t>响应文件封面、响应函、法定代表人授权委托书三处的项目名称、项目编号</w:t>
            </w:r>
          </w:p>
        </w:tc>
        <w:tc>
          <w:tcPr>
            <w:tcW w:w="4172" w:type="dxa"/>
            <w:vAlign w:val="center"/>
          </w:tcPr>
          <w:p w14:paraId="799F6C6A">
            <w:pPr>
              <w:spacing w:line="320" w:lineRule="exact"/>
              <w:jc w:val="left"/>
              <w:rPr>
                <w:rFonts w:ascii="宋体" w:hAnsi="宋体" w:cs="宋体"/>
                <w:bCs/>
                <w:color w:val="auto"/>
                <w:kern w:val="0"/>
                <w:sz w:val="24"/>
                <w:szCs w:val="24"/>
              </w:rPr>
            </w:pPr>
            <w:r>
              <w:rPr>
                <w:rFonts w:ascii="宋体" w:hAnsi="宋体" w:cs="宋体"/>
                <w:bCs/>
                <w:color w:val="auto"/>
                <w:kern w:val="0"/>
                <w:sz w:val="24"/>
                <w:szCs w:val="24"/>
              </w:rPr>
              <w:t>三处均无遗漏，且与所投项目</w:t>
            </w:r>
            <w:r>
              <w:rPr>
                <w:rFonts w:hint="eastAsia" w:ascii="宋体" w:hAnsi="宋体" w:cs="宋体"/>
                <w:bCs/>
                <w:color w:val="auto"/>
                <w:kern w:val="0"/>
                <w:sz w:val="24"/>
                <w:szCs w:val="24"/>
              </w:rPr>
              <w:t>名称、项目编号</w:t>
            </w:r>
            <w:r>
              <w:rPr>
                <w:rFonts w:ascii="宋体" w:hAnsi="宋体" w:cs="宋体"/>
                <w:bCs/>
                <w:color w:val="auto"/>
                <w:kern w:val="0"/>
                <w:sz w:val="24"/>
                <w:szCs w:val="24"/>
              </w:rPr>
              <w:t>一致</w:t>
            </w:r>
            <w:r>
              <w:rPr>
                <w:rFonts w:hint="eastAsia" w:ascii="宋体" w:hAnsi="宋体" w:cs="宋体"/>
                <w:bCs/>
                <w:color w:val="auto"/>
                <w:kern w:val="0"/>
                <w:sz w:val="24"/>
                <w:szCs w:val="24"/>
              </w:rPr>
              <w:t>。</w:t>
            </w:r>
          </w:p>
        </w:tc>
        <w:tc>
          <w:tcPr>
            <w:tcW w:w="910" w:type="dxa"/>
            <w:vAlign w:val="center"/>
          </w:tcPr>
          <w:p w14:paraId="36192748">
            <w:pPr>
              <w:spacing w:line="320" w:lineRule="exact"/>
              <w:jc w:val="center"/>
              <w:rPr>
                <w:rFonts w:ascii="宋体" w:hAnsi="宋体" w:cs="宋体"/>
                <w:b/>
                <w:bCs/>
                <w:color w:val="auto"/>
                <w:kern w:val="0"/>
                <w:sz w:val="24"/>
                <w:szCs w:val="24"/>
              </w:rPr>
            </w:pPr>
          </w:p>
        </w:tc>
        <w:tc>
          <w:tcPr>
            <w:tcW w:w="1440" w:type="dxa"/>
            <w:vAlign w:val="center"/>
          </w:tcPr>
          <w:p w14:paraId="3F9B1FCC">
            <w:pPr>
              <w:spacing w:line="320" w:lineRule="exact"/>
              <w:jc w:val="center"/>
              <w:rPr>
                <w:rFonts w:ascii="宋体" w:hAnsi="宋体" w:cs="宋体"/>
                <w:b/>
                <w:bCs/>
                <w:color w:val="auto"/>
                <w:kern w:val="0"/>
                <w:sz w:val="24"/>
                <w:szCs w:val="24"/>
              </w:rPr>
            </w:pPr>
          </w:p>
        </w:tc>
      </w:tr>
      <w:tr w14:paraId="44EC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866DE5">
            <w:pPr>
              <w:spacing w:line="320" w:lineRule="exact"/>
              <w:jc w:val="center"/>
              <w:rPr>
                <w:rFonts w:ascii="宋体" w:hAnsi="宋体" w:cs="宋体"/>
                <w:bCs/>
                <w:color w:val="auto"/>
                <w:kern w:val="0"/>
                <w:sz w:val="24"/>
                <w:szCs w:val="24"/>
              </w:rPr>
            </w:pPr>
            <w:r>
              <w:rPr>
                <w:rFonts w:hint="eastAsia" w:ascii="仿宋" w:hAnsi="仿宋" w:eastAsia="仿宋" w:cs="仿宋"/>
                <w:bCs/>
                <w:color w:val="auto"/>
                <w:kern w:val="0"/>
                <w:sz w:val="24"/>
                <w:szCs w:val="24"/>
              </w:rPr>
              <w:t>3</w:t>
            </w:r>
          </w:p>
        </w:tc>
        <w:tc>
          <w:tcPr>
            <w:tcW w:w="2431" w:type="dxa"/>
            <w:vAlign w:val="center"/>
          </w:tcPr>
          <w:p w14:paraId="66016D81">
            <w:pPr>
              <w:spacing w:line="320" w:lineRule="exact"/>
              <w:jc w:val="left"/>
              <w:rPr>
                <w:rFonts w:ascii="宋体" w:hAnsi="宋体" w:cs="宋体"/>
                <w:bCs/>
                <w:color w:val="auto"/>
                <w:kern w:val="0"/>
                <w:sz w:val="24"/>
                <w:szCs w:val="24"/>
              </w:rPr>
            </w:pPr>
            <w:r>
              <w:rPr>
                <w:rFonts w:hint="eastAsia" w:ascii="宋体" w:hAnsi="宋体" w:cs="宋体"/>
                <w:bCs/>
                <w:color w:val="auto"/>
                <w:kern w:val="0"/>
                <w:sz w:val="24"/>
                <w:szCs w:val="24"/>
              </w:rPr>
              <w:t>响应文件签署、盖章</w:t>
            </w:r>
          </w:p>
        </w:tc>
        <w:tc>
          <w:tcPr>
            <w:tcW w:w="4172" w:type="dxa"/>
            <w:vAlign w:val="center"/>
          </w:tcPr>
          <w:p w14:paraId="3A95110A">
            <w:pPr>
              <w:spacing w:line="320" w:lineRule="exact"/>
              <w:jc w:val="left"/>
              <w:rPr>
                <w:rFonts w:ascii="宋体" w:hAnsi="宋体" w:cs="宋体"/>
                <w:bCs/>
                <w:color w:val="auto"/>
                <w:kern w:val="0"/>
                <w:sz w:val="24"/>
                <w:szCs w:val="24"/>
              </w:rPr>
            </w:pPr>
            <w:r>
              <w:rPr>
                <w:rFonts w:hint="eastAsia" w:ascii="宋体" w:hAnsi="宋体"/>
                <w:color w:val="auto"/>
                <w:sz w:val="24"/>
                <w:szCs w:val="24"/>
              </w:rPr>
              <w:t>均按磋商文件要求签字、盖章（评分标准中要求提供的证明材料除外）。</w:t>
            </w:r>
          </w:p>
        </w:tc>
        <w:tc>
          <w:tcPr>
            <w:tcW w:w="910" w:type="dxa"/>
            <w:vAlign w:val="center"/>
          </w:tcPr>
          <w:p w14:paraId="00955173">
            <w:pPr>
              <w:spacing w:line="320" w:lineRule="exact"/>
              <w:jc w:val="center"/>
              <w:rPr>
                <w:rFonts w:ascii="宋体" w:hAnsi="宋体" w:cs="宋体"/>
                <w:b/>
                <w:bCs/>
                <w:color w:val="auto"/>
                <w:kern w:val="0"/>
                <w:sz w:val="24"/>
                <w:szCs w:val="24"/>
              </w:rPr>
            </w:pPr>
          </w:p>
        </w:tc>
        <w:tc>
          <w:tcPr>
            <w:tcW w:w="1440" w:type="dxa"/>
            <w:vAlign w:val="center"/>
          </w:tcPr>
          <w:p w14:paraId="104D5F06">
            <w:pPr>
              <w:spacing w:line="320" w:lineRule="exact"/>
              <w:jc w:val="center"/>
              <w:rPr>
                <w:rFonts w:ascii="宋体" w:hAnsi="宋体" w:cs="宋体"/>
                <w:b/>
                <w:bCs/>
                <w:color w:val="auto"/>
                <w:kern w:val="0"/>
                <w:sz w:val="24"/>
                <w:szCs w:val="24"/>
              </w:rPr>
            </w:pPr>
          </w:p>
        </w:tc>
      </w:tr>
      <w:tr w14:paraId="7CCA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04" w:type="dxa"/>
            <w:vAlign w:val="center"/>
          </w:tcPr>
          <w:p w14:paraId="00B45914">
            <w:pPr>
              <w:spacing w:line="320" w:lineRule="exact"/>
              <w:jc w:val="center"/>
              <w:rPr>
                <w:rFonts w:ascii="宋体" w:hAnsi="宋体" w:cs="宋体"/>
                <w:bCs/>
                <w:color w:val="auto"/>
                <w:kern w:val="0"/>
                <w:sz w:val="24"/>
                <w:szCs w:val="24"/>
              </w:rPr>
            </w:pPr>
            <w:r>
              <w:rPr>
                <w:rFonts w:hint="eastAsia" w:ascii="仿宋" w:hAnsi="仿宋" w:eastAsia="仿宋" w:cs="仿宋"/>
                <w:bCs/>
                <w:color w:val="auto"/>
                <w:kern w:val="0"/>
                <w:sz w:val="24"/>
                <w:szCs w:val="24"/>
              </w:rPr>
              <w:t>4</w:t>
            </w:r>
          </w:p>
        </w:tc>
        <w:tc>
          <w:tcPr>
            <w:tcW w:w="2431" w:type="dxa"/>
            <w:vAlign w:val="center"/>
          </w:tcPr>
          <w:p w14:paraId="16517FA2">
            <w:pPr>
              <w:spacing w:line="320" w:lineRule="exact"/>
              <w:jc w:val="left"/>
              <w:rPr>
                <w:rFonts w:ascii="宋体" w:hAnsi="宋体" w:cs="宋体"/>
                <w:bCs/>
                <w:color w:val="auto"/>
                <w:kern w:val="0"/>
                <w:sz w:val="24"/>
                <w:szCs w:val="24"/>
              </w:rPr>
            </w:pPr>
            <w:r>
              <w:rPr>
                <w:rFonts w:hint="eastAsia" w:ascii="宋体" w:hAnsi="宋体" w:cs="宋体"/>
                <w:bCs/>
                <w:color w:val="auto"/>
                <w:kern w:val="0"/>
                <w:sz w:val="24"/>
                <w:szCs w:val="24"/>
              </w:rPr>
              <w:t>磋商保证金的有效性</w:t>
            </w:r>
          </w:p>
        </w:tc>
        <w:tc>
          <w:tcPr>
            <w:tcW w:w="4172" w:type="dxa"/>
            <w:vAlign w:val="center"/>
          </w:tcPr>
          <w:p w14:paraId="46A92596">
            <w:pPr>
              <w:spacing w:line="320" w:lineRule="exact"/>
              <w:jc w:val="left"/>
              <w:rPr>
                <w:rFonts w:hint="eastAsia" w:ascii="宋体" w:hAnsi="宋体" w:cs="宋体"/>
                <w:bCs/>
                <w:color w:val="auto"/>
                <w:kern w:val="0"/>
                <w:sz w:val="24"/>
                <w:szCs w:val="24"/>
              </w:rPr>
            </w:pPr>
            <w:r>
              <w:rPr>
                <w:rFonts w:hint="eastAsia" w:ascii="宋体" w:hAnsi="宋体" w:cs="宋体"/>
                <w:bCs/>
                <w:color w:val="auto"/>
                <w:kern w:val="0"/>
                <w:sz w:val="24"/>
                <w:szCs w:val="24"/>
              </w:rPr>
              <w:t>按照磋商文件的要求，按时、一次性足额交纳到指定的保证金帐户，且保证金已在规定时间内到帐。保证金以转账、网上银行支付等方式交纳的，有效性以陕西省公共资源交易中心的实际到账凭证为准；保证金以纸质银行保函方式交纳的，提供采购人开具的保函回执复印件并加盖供应商公章，到账时间以采购人开具回执时间为准；保证金以电子保函方式交纳的，到账时间以银行开具的电子保函时间为准。</w:t>
            </w:r>
          </w:p>
        </w:tc>
        <w:tc>
          <w:tcPr>
            <w:tcW w:w="910" w:type="dxa"/>
            <w:vAlign w:val="center"/>
          </w:tcPr>
          <w:p w14:paraId="7B7B4EAA">
            <w:pPr>
              <w:spacing w:line="320" w:lineRule="exact"/>
              <w:jc w:val="center"/>
              <w:rPr>
                <w:rFonts w:ascii="宋体" w:hAnsi="宋体" w:cs="宋体"/>
                <w:b/>
                <w:bCs/>
                <w:color w:val="auto"/>
                <w:kern w:val="0"/>
                <w:sz w:val="24"/>
                <w:szCs w:val="24"/>
              </w:rPr>
            </w:pPr>
          </w:p>
        </w:tc>
        <w:tc>
          <w:tcPr>
            <w:tcW w:w="1440" w:type="dxa"/>
            <w:vAlign w:val="center"/>
          </w:tcPr>
          <w:p w14:paraId="4BC9D53E">
            <w:pPr>
              <w:spacing w:line="320" w:lineRule="exact"/>
              <w:jc w:val="center"/>
              <w:rPr>
                <w:rFonts w:ascii="宋体" w:hAnsi="宋体" w:cs="宋体"/>
                <w:b/>
                <w:bCs/>
                <w:color w:val="auto"/>
                <w:kern w:val="0"/>
                <w:sz w:val="24"/>
                <w:szCs w:val="24"/>
              </w:rPr>
            </w:pPr>
          </w:p>
        </w:tc>
      </w:tr>
      <w:tr w14:paraId="0492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90599D0">
            <w:pPr>
              <w:spacing w:line="320" w:lineRule="exact"/>
              <w:jc w:val="center"/>
              <w:rPr>
                <w:rFonts w:ascii="宋体" w:hAnsi="宋体" w:cs="宋体"/>
                <w:bCs/>
                <w:color w:val="auto"/>
                <w:kern w:val="0"/>
                <w:sz w:val="24"/>
                <w:szCs w:val="24"/>
              </w:rPr>
            </w:pPr>
            <w:r>
              <w:rPr>
                <w:rFonts w:hint="eastAsia" w:ascii="仿宋" w:hAnsi="仿宋" w:eastAsia="仿宋" w:cs="仿宋"/>
                <w:bCs/>
                <w:color w:val="auto"/>
                <w:kern w:val="0"/>
                <w:sz w:val="24"/>
                <w:szCs w:val="24"/>
              </w:rPr>
              <w:t>5</w:t>
            </w:r>
          </w:p>
        </w:tc>
        <w:tc>
          <w:tcPr>
            <w:tcW w:w="2431" w:type="dxa"/>
            <w:vAlign w:val="center"/>
          </w:tcPr>
          <w:p w14:paraId="7E26697A">
            <w:pPr>
              <w:spacing w:line="320" w:lineRule="exact"/>
              <w:jc w:val="left"/>
              <w:rPr>
                <w:rFonts w:ascii="宋体" w:hAnsi="宋体" w:cs="宋体"/>
                <w:bCs/>
                <w:color w:val="auto"/>
                <w:kern w:val="0"/>
                <w:sz w:val="24"/>
                <w:szCs w:val="24"/>
              </w:rPr>
            </w:pPr>
            <w:r>
              <w:rPr>
                <w:rFonts w:hint="eastAsia" w:ascii="宋体" w:hAnsi="宋体" w:cs="宋体"/>
                <w:bCs/>
                <w:color w:val="auto"/>
                <w:kern w:val="0"/>
                <w:sz w:val="24"/>
                <w:szCs w:val="24"/>
              </w:rPr>
              <w:t>第一次磋商报价表</w:t>
            </w:r>
          </w:p>
        </w:tc>
        <w:tc>
          <w:tcPr>
            <w:tcW w:w="4172" w:type="dxa"/>
          </w:tcPr>
          <w:p w14:paraId="094303EC">
            <w:pPr>
              <w:spacing w:line="320" w:lineRule="exact"/>
              <w:rPr>
                <w:rFonts w:ascii="宋体" w:hAnsi="宋体"/>
                <w:color w:val="auto"/>
                <w:sz w:val="24"/>
                <w:szCs w:val="24"/>
              </w:rPr>
            </w:pPr>
            <w:r>
              <w:rPr>
                <w:rFonts w:hint="eastAsia" w:ascii="宋体" w:hAnsi="宋体"/>
                <w:color w:val="auto"/>
                <w:sz w:val="24"/>
                <w:szCs w:val="24"/>
              </w:rPr>
              <w:t>（</w:t>
            </w:r>
            <w:r>
              <w:rPr>
                <w:rFonts w:hint="eastAsia" w:ascii="仿宋" w:hAnsi="仿宋" w:eastAsia="仿宋" w:cs="仿宋"/>
                <w:color w:val="auto"/>
                <w:sz w:val="24"/>
                <w:szCs w:val="24"/>
              </w:rPr>
              <w:t>1</w:t>
            </w:r>
            <w:r>
              <w:rPr>
                <w:rFonts w:hint="eastAsia" w:ascii="宋体" w:hAnsi="宋体"/>
                <w:color w:val="auto"/>
                <w:sz w:val="24"/>
                <w:szCs w:val="24"/>
              </w:rPr>
              <w:t>）第一次磋商报价表填写符合要求；</w:t>
            </w:r>
          </w:p>
          <w:p w14:paraId="02543726">
            <w:pPr>
              <w:spacing w:line="320" w:lineRule="exact"/>
              <w:rPr>
                <w:rFonts w:ascii="宋体" w:hAnsi="宋体"/>
                <w:color w:val="auto"/>
                <w:sz w:val="24"/>
                <w:szCs w:val="24"/>
              </w:rPr>
            </w:pPr>
            <w:r>
              <w:rPr>
                <w:rFonts w:hint="eastAsia" w:ascii="宋体" w:hAnsi="宋体"/>
                <w:color w:val="auto"/>
                <w:sz w:val="24"/>
                <w:szCs w:val="24"/>
              </w:rPr>
              <w:t>（</w:t>
            </w:r>
            <w:r>
              <w:rPr>
                <w:rFonts w:hint="eastAsia" w:ascii="仿宋" w:hAnsi="仿宋" w:eastAsia="仿宋" w:cs="仿宋"/>
                <w:color w:val="auto"/>
                <w:sz w:val="24"/>
                <w:szCs w:val="24"/>
              </w:rPr>
              <w:t>2</w:t>
            </w:r>
            <w:r>
              <w:rPr>
                <w:rFonts w:hint="eastAsia" w:ascii="宋体" w:hAnsi="宋体"/>
                <w:color w:val="auto"/>
                <w:sz w:val="24"/>
                <w:szCs w:val="24"/>
              </w:rPr>
              <w:t>）计量单位、报价货币均符合磋商文件要求；</w:t>
            </w:r>
          </w:p>
          <w:p w14:paraId="1AAE18B1">
            <w:pPr>
              <w:spacing w:line="320" w:lineRule="exact"/>
              <w:rPr>
                <w:rFonts w:ascii="宋体" w:hAnsi="宋体" w:cs="宋体"/>
                <w:color w:val="auto"/>
                <w:sz w:val="24"/>
                <w:szCs w:val="24"/>
              </w:rPr>
            </w:pPr>
            <w:r>
              <w:rPr>
                <w:rFonts w:hint="eastAsia" w:ascii="宋体" w:hAnsi="宋体"/>
                <w:color w:val="auto"/>
                <w:sz w:val="24"/>
                <w:szCs w:val="24"/>
              </w:rPr>
              <w:t>（</w:t>
            </w:r>
            <w:r>
              <w:rPr>
                <w:rFonts w:hint="eastAsia" w:ascii="仿宋" w:hAnsi="仿宋" w:eastAsia="仿宋" w:cs="仿宋"/>
                <w:color w:val="auto"/>
                <w:sz w:val="24"/>
                <w:szCs w:val="24"/>
              </w:rPr>
              <w:t>3</w:t>
            </w:r>
            <w:r>
              <w:rPr>
                <w:rFonts w:hint="eastAsia" w:ascii="宋体" w:hAnsi="宋体"/>
                <w:color w:val="auto"/>
                <w:sz w:val="24"/>
                <w:szCs w:val="24"/>
              </w:rPr>
              <w:t>）第一次磋商报价未超出采购预算或磋商文件规定的最高限价。</w:t>
            </w:r>
          </w:p>
        </w:tc>
        <w:tc>
          <w:tcPr>
            <w:tcW w:w="910" w:type="dxa"/>
            <w:vAlign w:val="center"/>
          </w:tcPr>
          <w:p w14:paraId="3DA30554">
            <w:pPr>
              <w:spacing w:line="320" w:lineRule="exact"/>
              <w:jc w:val="center"/>
              <w:rPr>
                <w:rFonts w:ascii="宋体" w:hAnsi="宋体" w:cs="宋体"/>
                <w:b/>
                <w:bCs/>
                <w:color w:val="auto"/>
                <w:kern w:val="0"/>
                <w:sz w:val="24"/>
                <w:szCs w:val="24"/>
              </w:rPr>
            </w:pPr>
          </w:p>
        </w:tc>
        <w:tc>
          <w:tcPr>
            <w:tcW w:w="1440" w:type="dxa"/>
            <w:vAlign w:val="center"/>
          </w:tcPr>
          <w:p w14:paraId="4C20F860">
            <w:pPr>
              <w:spacing w:line="320" w:lineRule="exact"/>
              <w:jc w:val="center"/>
              <w:rPr>
                <w:rFonts w:ascii="宋体" w:hAnsi="宋体" w:cs="宋体"/>
                <w:b/>
                <w:bCs/>
                <w:color w:val="auto"/>
                <w:kern w:val="0"/>
                <w:sz w:val="24"/>
                <w:szCs w:val="24"/>
              </w:rPr>
            </w:pPr>
          </w:p>
        </w:tc>
      </w:tr>
      <w:tr w14:paraId="1324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08E1BD">
            <w:pPr>
              <w:spacing w:line="320" w:lineRule="exact"/>
              <w:jc w:val="center"/>
              <w:rPr>
                <w:rFonts w:ascii="宋体" w:hAnsi="宋体" w:cs="宋体"/>
                <w:bCs/>
                <w:color w:val="auto"/>
                <w:kern w:val="0"/>
                <w:sz w:val="24"/>
                <w:szCs w:val="24"/>
              </w:rPr>
            </w:pPr>
            <w:r>
              <w:rPr>
                <w:rFonts w:hint="eastAsia" w:ascii="仿宋" w:hAnsi="仿宋" w:eastAsia="仿宋" w:cs="仿宋"/>
                <w:bCs/>
                <w:color w:val="auto"/>
                <w:kern w:val="0"/>
                <w:sz w:val="24"/>
                <w:szCs w:val="24"/>
              </w:rPr>
              <w:t>6</w:t>
            </w:r>
          </w:p>
        </w:tc>
        <w:tc>
          <w:tcPr>
            <w:tcW w:w="2431" w:type="dxa"/>
            <w:vAlign w:val="center"/>
          </w:tcPr>
          <w:p w14:paraId="4EA2A059">
            <w:pPr>
              <w:spacing w:line="360" w:lineRule="exact"/>
              <w:rPr>
                <w:rFonts w:ascii="华文仿宋" w:hAnsi="华文仿宋" w:cs="华文仿宋"/>
                <w:bCs/>
                <w:color w:val="auto"/>
                <w:kern w:val="0"/>
                <w:sz w:val="24"/>
                <w:szCs w:val="24"/>
              </w:rPr>
            </w:pPr>
            <w:r>
              <w:rPr>
                <w:rFonts w:hint="eastAsia" w:ascii="华文仿宋" w:hAnsi="华文仿宋" w:cs="华文仿宋"/>
                <w:color w:val="auto"/>
                <w:sz w:val="24"/>
                <w:szCs w:val="24"/>
              </w:rPr>
              <w:t>技术服务要求</w:t>
            </w:r>
          </w:p>
        </w:tc>
        <w:tc>
          <w:tcPr>
            <w:tcW w:w="4172" w:type="dxa"/>
            <w:vAlign w:val="center"/>
          </w:tcPr>
          <w:p w14:paraId="5336BD48">
            <w:pPr>
              <w:spacing w:line="320" w:lineRule="exact"/>
              <w:jc w:val="left"/>
              <w:rPr>
                <w:rFonts w:ascii="宋体" w:hAnsi="宋体" w:cs="宋体"/>
                <w:bCs/>
                <w:color w:val="auto"/>
                <w:kern w:val="0"/>
                <w:sz w:val="24"/>
                <w:szCs w:val="24"/>
              </w:rPr>
            </w:pPr>
            <w:r>
              <w:rPr>
                <w:rFonts w:ascii="宋体" w:hAnsi="宋体" w:cs="宋体"/>
                <w:bCs/>
                <w:color w:val="auto"/>
                <w:kern w:val="0"/>
                <w:sz w:val="24"/>
                <w:szCs w:val="24"/>
              </w:rPr>
              <w:t>完全理解并接受对合格供应商、合格的货物、工程或服务要求，根据响应文件中《技术服务偏差表》，第三章“</w:t>
            </w:r>
            <w:r>
              <w:rPr>
                <w:rFonts w:hint="eastAsia" w:ascii="华文仿宋" w:hAnsi="华文仿宋" w:cs="华文仿宋"/>
                <w:b/>
                <w:sz w:val="24"/>
                <w:szCs w:val="24"/>
                <w:lang w:val="en-US" w:eastAsia="zh-CN"/>
              </w:rPr>
              <w:t>★</w:t>
            </w:r>
            <w:r>
              <w:rPr>
                <w:rFonts w:ascii="宋体" w:hAnsi="宋体" w:cs="宋体"/>
                <w:bCs/>
                <w:color w:val="auto"/>
                <w:kern w:val="0"/>
                <w:sz w:val="24"/>
                <w:szCs w:val="24"/>
              </w:rPr>
              <w:t>”标识的实质性要求没有负偏离。</w:t>
            </w:r>
          </w:p>
        </w:tc>
        <w:tc>
          <w:tcPr>
            <w:tcW w:w="910" w:type="dxa"/>
            <w:vAlign w:val="center"/>
          </w:tcPr>
          <w:p w14:paraId="71BD13B2">
            <w:pPr>
              <w:spacing w:line="320" w:lineRule="exact"/>
              <w:jc w:val="center"/>
              <w:rPr>
                <w:rFonts w:ascii="宋体" w:hAnsi="宋体" w:cs="宋体"/>
                <w:b/>
                <w:bCs/>
                <w:color w:val="auto"/>
                <w:kern w:val="0"/>
                <w:sz w:val="24"/>
                <w:szCs w:val="24"/>
                <w:highlight w:val="yellow"/>
              </w:rPr>
            </w:pPr>
          </w:p>
        </w:tc>
        <w:tc>
          <w:tcPr>
            <w:tcW w:w="1440" w:type="dxa"/>
            <w:vAlign w:val="center"/>
          </w:tcPr>
          <w:p w14:paraId="3C9EA79F">
            <w:pPr>
              <w:spacing w:line="320" w:lineRule="exact"/>
              <w:jc w:val="center"/>
              <w:rPr>
                <w:rFonts w:ascii="宋体" w:hAnsi="宋体" w:cs="宋体"/>
                <w:b/>
                <w:bCs/>
                <w:color w:val="auto"/>
                <w:kern w:val="0"/>
                <w:sz w:val="24"/>
                <w:szCs w:val="24"/>
                <w:highlight w:val="yellow"/>
              </w:rPr>
            </w:pPr>
          </w:p>
        </w:tc>
      </w:tr>
      <w:tr w14:paraId="4EA8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B3FAB30">
            <w:pPr>
              <w:spacing w:line="320" w:lineRule="exact"/>
              <w:jc w:val="center"/>
              <w:rPr>
                <w:rFonts w:ascii="宋体" w:hAnsi="宋体" w:cs="宋体"/>
                <w:bCs/>
                <w:color w:val="auto"/>
                <w:kern w:val="0"/>
                <w:sz w:val="24"/>
                <w:szCs w:val="24"/>
              </w:rPr>
            </w:pPr>
            <w:r>
              <w:rPr>
                <w:rFonts w:hint="eastAsia" w:ascii="仿宋" w:hAnsi="仿宋" w:eastAsia="仿宋" w:cs="仿宋"/>
                <w:bCs/>
                <w:color w:val="auto"/>
                <w:kern w:val="0"/>
                <w:sz w:val="24"/>
                <w:szCs w:val="24"/>
              </w:rPr>
              <w:t>7</w:t>
            </w:r>
          </w:p>
        </w:tc>
        <w:tc>
          <w:tcPr>
            <w:tcW w:w="2431" w:type="dxa"/>
            <w:vAlign w:val="center"/>
          </w:tcPr>
          <w:p w14:paraId="05B41387">
            <w:pPr>
              <w:spacing w:line="360" w:lineRule="exact"/>
              <w:jc w:val="left"/>
              <w:rPr>
                <w:rFonts w:ascii="华文仿宋" w:hAnsi="华文仿宋" w:cs="华文仿宋"/>
                <w:bCs/>
                <w:color w:val="auto"/>
                <w:kern w:val="0"/>
                <w:sz w:val="24"/>
                <w:szCs w:val="24"/>
              </w:rPr>
            </w:pPr>
            <w:r>
              <w:rPr>
                <w:rFonts w:hint="eastAsia" w:ascii="华文仿宋" w:hAnsi="华文仿宋" w:cs="华文仿宋"/>
                <w:color w:val="auto"/>
                <w:sz w:val="24"/>
                <w:szCs w:val="24"/>
              </w:rPr>
              <w:t>无其他磋商文件或法规明确规定响应无效的事项</w:t>
            </w:r>
          </w:p>
        </w:tc>
        <w:tc>
          <w:tcPr>
            <w:tcW w:w="4172" w:type="dxa"/>
            <w:vAlign w:val="center"/>
          </w:tcPr>
          <w:p w14:paraId="50457953">
            <w:pPr>
              <w:spacing w:line="370" w:lineRule="exact"/>
              <w:jc w:val="left"/>
              <w:rPr>
                <w:rFonts w:ascii="华文仿宋" w:hAnsi="华文仿宋" w:cs="华文仿宋"/>
                <w:bCs/>
                <w:color w:val="auto"/>
                <w:kern w:val="0"/>
                <w:sz w:val="24"/>
                <w:szCs w:val="24"/>
              </w:rPr>
            </w:pPr>
            <w:r>
              <w:rPr>
                <w:rFonts w:hint="eastAsia" w:ascii="华文仿宋" w:hAnsi="华文仿宋" w:cs="华文仿宋"/>
                <w:color w:val="auto"/>
                <w:sz w:val="24"/>
                <w:szCs w:val="24"/>
              </w:rPr>
              <w:t>没有不符合磋商文件规定的被视为无效响应的其他条款。</w:t>
            </w:r>
          </w:p>
        </w:tc>
        <w:tc>
          <w:tcPr>
            <w:tcW w:w="910" w:type="dxa"/>
            <w:vAlign w:val="center"/>
          </w:tcPr>
          <w:p w14:paraId="1B08A4B7">
            <w:pPr>
              <w:spacing w:line="320" w:lineRule="exact"/>
              <w:jc w:val="center"/>
              <w:rPr>
                <w:rFonts w:ascii="宋体" w:hAnsi="宋体" w:cs="宋体"/>
                <w:b/>
                <w:bCs/>
                <w:color w:val="auto"/>
                <w:kern w:val="0"/>
                <w:sz w:val="24"/>
                <w:szCs w:val="24"/>
                <w:highlight w:val="yellow"/>
              </w:rPr>
            </w:pPr>
          </w:p>
        </w:tc>
        <w:tc>
          <w:tcPr>
            <w:tcW w:w="1440" w:type="dxa"/>
            <w:vAlign w:val="center"/>
          </w:tcPr>
          <w:p w14:paraId="123E427D">
            <w:pPr>
              <w:spacing w:line="320" w:lineRule="exact"/>
              <w:jc w:val="center"/>
              <w:rPr>
                <w:rFonts w:ascii="宋体" w:hAnsi="宋体" w:cs="宋体"/>
                <w:b/>
                <w:bCs/>
                <w:color w:val="auto"/>
                <w:kern w:val="0"/>
                <w:sz w:val="24"/>
                <w:szCs w:val="24"/>
                <w:highlight w:val="yellow"/>
              </w:rPr>
            </w:pPr>
          </w:p>
        </w:tc>
      </w:tr>
      <w:tr w14:paraId="42CD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EAEDD3">
            <w:pPr>
              <w:spacing w:line="320" w:lineRule="exact"/>
              <w:jc w:val="center"/>
              <w:rPr>
                <w:rFonts w:ascii="宋体" w:hAnsi="宋体" w:cs="宋体"/>
                <w:bCs/>
                <w:color w:val="auto"/>
                <w:kern w:val="0"/>
                <w:sz w:val="24"/>
                <w:szCs w:val="24"/>
              </w:rPr>
            </w:pPr>
            <w:r>
              <w:rPr>
                <w:rFonts w:hint="eastAsia" w:ascii="仿宋" w:hAnsi="仿宋" w:eastAsia="仿宋" w:cs="仿宋"/>
                <w:bCs/>
                <w:color w:val="auto"/>
                <w:kern w:val="0"/>
                <w:sz w:val="24"/>
                <w:szCs w:val="24"/>
              </w:rPr>
              <w:t>8</w:t>
            </w:r>
          </w:p>
        </w:tc>
        <w:tc>
          <w:tcPr>
            <w:tcW w:w="2431" w:type="dxa"/>
            <w:vAlign w:val="center"/>
          </w:tcPr>
          <w:p w14:paraId="2B78E2F0">
            <w:pPr>
              <w:spacing w:line="320" w:lineRule="exact"/>
              <w:rPr>
                <w:rFonts w:ascii="宋体" w:hAnsi="宋体" w:eastAsia="仿宋" w:cs="宋体"/>
                <w:bCs/>
                <w:color w:val="auto"/>
                <w:kern w:val="0"/>
                <w:sz w:val="24"/>
                <w:szCs w:val="24"/>
              </w:rPr>
            </w:pPr>
            <w:r>
              <w:rPr>
                <w:rFonts w:hint="eastAsia" w:ascii="华文仿宋" w:hAnsi="华文仿宋" w:cs="华文仿宋"/>
                <w:bCs/>
                <w:color w:val="auto"/>
                <w:kern w:val="0"/>
                <w:sz w:val="24"/>
                <w:szCs w:val="24"/>
              </w:rPr>
              <w:t>合同条款响应</w:t>
            </w:r>
          </w:p>
        </w:tc>
        <w:tc>
          <w:tcPr>
            <w:tcW w:w="4172" w:type="dxa"/>
            <w:vAlign w:val="center"/>
          </w:tcPr>
          <w:p w14:paraId="2C254E63">
            <w:pPr>
              <w:spacing w:line="320" w:lineRule="exact"/>
              <w:rPr>
                <w:rFonts w:ascii="宋体" w:hAnsi="宋体"/>
                <w:color w:val="auto"/>
                <w:sz w:val="24"/>
                <w:szCs w:val="24"/>
              </w:rPr>
            </w:pPr>
            <w:r>
              <w:rPr>
                <w:rFonts w:hint="eastAsia" w:ascii="华文仿宋" w:hAnsi="华文仿宋" w:cs="华文仿宋"/>
                <w:color w:val="auto"/>
                <w:sz w:val="24"/>
                <w:szCs w:val="24"/>
              </w:rPr>
              <w:t>有完全理解并接受磋商文件合同基本条款要求的描述。</w:t>
            </w:r>
          </w:p>
        </w:tc>
        <w:tc>
          <w:tcPr>
            <w:tcW w:w="910" w:type="dxa"/>
            <w:vAlign w:val="center"/>
          </w:tcPr>
          <w:p w14:paraId="5172E42E">
            <w:pPr>
              <w:spacing w:line="320" w:lineRule="exact"/>
              <w:jc w:val="center"/>
              <w:rPr>
                <w:rFonts w:ascii="宋体" w:hAnsi="宋体" w:cs="宋体"/>
                <w:b/>
                <w:bCs/>
                <w:color w:val="auto"/>
                <w:kern w:val="0"/>
                <w:sz w:val="24"/>
                <w:szCs w:val="24"/>
                <w:highlight w:val="yellow"/>
              </w:rPr>
            </w:pPr>
          </w:p>
        </w:tc>
        <w:tc>
          <w:tcPr>
            <w:tcW w:w="1440" w:type="dxa"/>
            <w:vAlign w:val="center"/>
          </w:tcPr>
          <w:p w14:paraId="5CCD3321">
            <w:pPr>
              <w:spacing w:line="320" w:lineRule="exact"/>
              <w:jc w:val="center"/>
              <w:rPr>
                <w:rFonts w:ascii="宋体" w:hAnsi="宋体" w:cs="宋体"/>
                <w:b/>
                <w:bCs/>
                <w:color w:val="auto"/>
                <w:kern w:val="0"/>
                <w:sz w:val="24"/>
                <w:szCs w:val="24"/>
                <w:highlight w:val="yellow"/>
              </w:rPr>
            </w:pPr>
          </w:p>
        </w:tc>
      </w:tr>
      <w:tr w14:paraId="118B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657" w:type="dxa"/>
            <w:gridSpan w:val="5"/>
            <w:vAlign w:val="center"/>
          </w:tcPr>
          <w:p w14:paraId="23787AAA">
            <w:pPr>
              <w:spacing w:line="240" w:lineRule="auto"/>
              <w:rPr>
                <w:rFonts w:ascii="宋体" w:hAnsi="宋体" w:cs="宋体"/>
                <w:b/>
                <w:bCs/>
                <w:color w:val="auto"/>
                <w:kern w:val="0"/>
                <w:sz w:val="24"/>
                <w:szCs w:val="24"/>
              </w:rPr>
            </w:pPr>
            <w:r>
              <w:rPr>
                <w:rFonts w:hint="eastAsia" w:ascii="宋体" w:hAnsi="宋体" w:cs="宋体"/>
                <w:b/>
                <w:bCs/>
                <w:color w:val="auto"/>
                <w:kern w:val="0"/>
                <w:sz w:val="24"/>
                <w:szCs w:val="24"/>
              </w:rPr>
              <w:t>磋商小组成员：（签字或盖章）</w:t>
            </w:r>
          </w:p>
        </w:tc>
      </w:tr>
    </w:tbl>
    <w:p w14:paraId="14800091">
      <w:pPr>
        <w:spacing w:line="500" w:lineRule="exact"/>
        <w:ind w:firstLine="566" w:firstLineChars="200"/>
        <w:rPr>
          <w:rFonts w:ascii="华文仿宋" w:hAnsi="华文仿宋" w:cs="华文仿宋"/>
          <w:b/>
          <w:color w:val="auto"/>
        </w:rPr>
      </w:pPr>
      <w:r>
        <w:rPr>
          <w:rFonts w:hint="eastAsia" w:ascii="华文仿宋" w:hAnsi="华文仿宋" w:cs="华文仿宋"/>
          <w:b/>
          <w:color w:val="auto"/>
        </w:rPr>
        <w:t>3、响应文件的澄清</w:t>
      </w:r>
    </w:p>
    <w:p w14:paraId="03B1E221">
      <w:pPr>
        <w:spacing w:line="500" w:lineRule="exact"/>
        <w:ind w:firstLine="566" w:firstLineChars="200"/>
        <w:rPr>
          <w:rFonts w:ascii="华文仿宋" w:hAnsi="华文仿宋" w:cs="华文仿宋"/>
          <w:color w:val="auto"/>
        </w:rPr>
      </w:pPr>
      <w:r>
        <w:rPr>
          <w:rFonts w:hint="eastAsia" w:ascii="华文仿宋" w:hAnsi="华文仿宋" w:cs="华文仿宋"/>
          <w:color w:val="auto"/>
        </w:rPr>
        <w:t>（1）磋商小组在对响应文件的有效性、完整性和响应程度进行审查时，可以要求供应商对响应文件中含义不明确、同类问题表述不一致或者有明显文字和计算错误的内容等做出必要的澄清、说明或者更正。</w:t>
      </w:r>
    </w:p>
    <w:p w14:paraId="3A2B1F08">
      <w:pPr>
        <w:spacing w:line="500" w:lineRule="exact"/>
        <w:ind w:firstLine="566" w:firstLineChars="200"/>
        <w:rPr>
          <w:rFonts w:ascii="华文仿宋" w:hAnsi="华文仿宋" w:cs="华文仿宋"/>
          <w:color w:val="auto"/>
        </w:rPr>
      </w:pPr>
      <w:r>
        <w:rPr>
          <w:rFonts w:hint="eastAsia" w:ascii="华文仿宋" w:hAnsi="华文仿宋" w:cs="华文仿宋"/>
          <w:color w:val="auto"/>
        </w:rPr>
        <w:t>（2）依照民法中的过失责任原则，澄清、说明或更正前磋商小组将按最不利于参与本次磋商供应商的原则对响应文件做出评判。</w:t>
      </w:r>
    </w:p>
    <w:p w14:paraId="3F7532CB">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rPr>
        <w:t>（3）</w:t>
      </w:r>
      <w:r>
        <w:rPr>
          <w:rFonts w:hint="eastAsia" w:ascii="华文仿宋" w:hAnsi="华文仿宋" w:cs="华文仿宋"/>
          <w:color w:val="auto"/>
          <w:highlight w:val="none"/>
        </w:rPr>
        <w:t>磋商小组要求供应商澄清、说明或者更正响应文件应</w:t>
      </w:r>
      <w:r>
        <w:rPr>
          <w:rFonts w:hint="eastAsia" w:ascii="华文仿宋" w:hAnsi="华文仿宋" w:cs="华文仿宋"/>
          <w:color w:val="auto"/>
          <w:highlight w:val="none"/>
          <w:lang w:val="en-US" w:eastAsia="zh-CN"/>
        </w:rPr>
        <w:t>当以</w:t>
      </w:r>
      <w:r>
        <w:rPr>
          <w:rFonts w:hint="eastAsia" w:ascii="华文仿宋" w:hAnsi="华文仿宋" w:cs="华文仿宋"/>
          <w:color w:val="auto"/>
          <w:highlight w:val="none"/>
        </w:rPr>
        <w:t>书面形式做出。供应商应当在规定的澄清时限内</w:t>
      </w:r>
      <w:r>
        <w:rPr>
          <w:rFonts w:hint="eastAsia" w:ascii="华文仿宋" w:hAnsi="华文仿宋" w:cs="华文仿宋"/>
          <w:color w:val="auto"/>
          <w:highlight w:val="none"/>
          <w:lang w:val="en-US" w:eastAsia="zh-CN"/>
        </w:rPr>
        <w:t>以</w:t>
      </w:r>
      <w:r>
        <w:rPr>
          <w:rFonts w:hint="eastAsia" w:ascii="华文仿宋" w:hAnsi="华文仿宋" w:cs="华文仿宋"/>
          <w:color w:val="auto"/>
          <w:highlight w:val="none"/>
        </w:rPr>
        <w:t>书面形式提交，供应商的澄清、说明或者更正应当由法定代表人或其授权代表签字或者加盖公章。</w:t>
      </w:r>
    </w:p>
    <w:p w14:paraId="57201D91">
      <w:pPr>
        <w:spacing w:line="500" w:lineRule="exact"/>
        <w:ind w:firstLine="566" w:firstLineChars="200"/>
        <w:rPr>
          <w:rFonts w:ascii="华文仿宋" w:hAnsi="华文仿宋" w:cs="华文仿宋"/>
          <w:color w:val="auto"/>
        </w:rPr>
      </w:pPr>
      <w:r>
        <w:rPr>
          <w:rFonts w:hint="eastAsia" w:ascii="华文仿宋" w:hAnsi="华文仿宋" w:cs="华文仿宋"/>
          <w:color w:val="auto"/>
        </w:rPr>
        <w:t>（4）供应商的澄清、说明或者更正不得超出响应文件的范围或者改变响应文件的实质性内容。澄清、说明或者更正的内容将作为</w:t>
      </w:r>
      <w:r>
        <w:rPr>
          <w:rFonts w:hint="eastAsia" w:ascii="华文仿宋" w:hAnsi="华文仿宋" w:cs="华文仿宋"/>
          <w:color w:val="auto"/>
          <w:kern w:val="0"/>
        </w:rPr>
        <w:t>合同</w:t>
      </w:r>
      <w:r>
        <w:rPr>
          <w:rFonts w:hint="eastAsia" w:ascii="华文仿宋" w:hAnsi="华文仿宋" w:cs="华文仿宋"/>
          <w:color w:val="auto"/>
        </w:rPr>
        <w:t>履行的重要依据。</w:t>
      </w:r>
    </w:p>
    <w:p w14:paraId="55F7B65A">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b/>
          <w:color w:val="auto"/>
        </w:rPr>
      </w:pPr>
      <w:r>
        <w:rPr>
          <w:rFonts w:hint="eastAsia" w:ascii="华文仿宋" w:hAnsi="华文仿宋" w:cs="华文仿宋"/>
          <w:b/>
          <w:color w:val="auto"/>
        </w:rPr>
        <w:t>4、进行磋商</w:t>
      </w:r>
    </w:p>
    <w:p w14:paraId="5CB962E8">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color w:val="auto"/>
          <w:highlight w:val="none"/>
        </w:rPr>
      </w:pPr>
      <w:r>
        <w:rPr>
          <w:rFonts w:hint="eastAsia" w:ascii="华文仿宋" w:hAnsi="华文仿宋" w:cs="华文仿宋"/>
          <w:bCs/>
          <w:color w:val="auto"/>
          <w:highlight w:val="none"/>
        </w:rPr>
        <w:t>磋商小组所有成员应当集中与单一供应商分别进行磋商，并给予所有参加磋商的供应商平等的磋商机会。需要供应商书面答复磋商内容的，</w:t>
      </w:r>
      <w:r>
        <w:rPr>
          <w:rFonts w:hint="eastAsia" w:ascii="华文仿宋" w:hAnsi="华文仿宋" w:cs="华文仿宋"/>
          <w:color w:val="auto"/>
          <w:highlight w:val="none"/>
        </w:rPr>
        <w:t>供应商应当按照磋商小组的要求，在磋商小组规定的时限内书面答复磋商的内容。并由法定代表人或其授权代表签字或者加盖公章。</w:t>
      </w:r>
    </w:p>
    <w:p w14:paraId="275FAC5B">
      <w:pPr>
        <w:spacing w:line="500" w:lineRule="exact"/>
        <w:ind w:firstLine="566" w:firstLineChars="200"/>
        <w:contextualSpacing/>
        <w:rPr>
          <w:rFonts w:ascii="华文仿宋" w:hAnsi="华文仿宋" w:cs="华文仿宋"/>
          <w:b/>
          <w:color w:val="auto"/>
        </w:rPr>
      </w:pPr>
      <w:r>
        <w:rPr>
          <w:rFonts w:hint="eastAsia" w:ascii="华文仿宋" w:hAnsi="华文仿宋" w:cs="华文仿宋"/>
          <w:b/>
          <w:color w:val="auto"/>
        </w:rPr>
        <w:t>5、磋商文件的实质性变更</w:t>
      </w:r>
    </w:p>
    <w:p w14:paraId="69066C7D">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rPr>
        <w:t>（1）</w:t>
      </w:r>
      <w:r>
        <w:rPr>
          <w:rFonts w:hint="eastAsia" w:ascii="华文仿宋" w:hAnsi="华文仿宋" w:cs="华文仿宋"/>
          <w:color w:val="auto"/>
          <w:highlight w:val="none"/>
        </w:rPr>
        <w:t>在磋商过程中，磋商小组可以根据磋商文件和磋商情况实质性变动采购需求中的技术、服务要求以及合同基本条款，但不得变动磋商文件中的其他内容。实质性变动的内容，须经采购人代表确认。</w:t>
      </w:r>
    </w:p>
    <w:p w14:paraId="1AAC1B35">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rPr>
        <w:t>（2）</w:t>
      </w:r>
      <w:r>
        <w:rPr>
          <w:rFonts w:hint="eastAsia" w:ascii="华文仿宋" w:hAnsi="华文仿宋" w:cs="华文仿宋"/>
          <w:color w:val="auto"/>
          <w:highlight w:val="none"/>
        </w:rPr>
        <w:t>对磋商文件作出的实质性变动是磋商文件的有效组成部分，磋商小组将以书面形式通知所有参加磋商的供应商。</w:t>
      </w:r>
    </w:p>
    <w:p w14:paraId="60D9CA2E">
      <w:pPr>
        <w:spacing w:line="500" w:lineRule="exact"/>
        <w:ind w:firstLine="566" w:firstLineChars="200"/>
        <w:contextualSpacing/>
        <w:rPr>
          <w:color w:val="auto"/>
          <w:highlight w:val="none"/>
        </w:rPr>
      </w:pPr>
      <w:r>
        <w:rPr>
          <w:rFonts w:hint="eastAsia" w:ascii="华文仿宋" w:hAnsi="华文仿宋" w:cs="华文仿宋"/>
          <w:color w:val="auto"/>
        </w:rPr>
        <w:t>（3）</w:t>
      </w:r>
      <w:r>
        <w:rPr>
          <w:rFonts w:hint="eastAsia" w:ascii="华文仿宋" w:hAnsi="华文仿宋" w:cs="华文仿宋"/>
          <w:color w:val="auto"/>
          <w:highlight w:val="none"/>
        </w:rPr>
        <w:t>供应商应当按照磋商文件的变动情况和磋商小组的要求，在磋商小组规定的时限内重新提交响应文件，并用数字认证证书（CA锁）签章或由法定代表人或其授权代表签字或者加盖公章。</w:t>
      </w:r>
    </w:p>
    <w:p w14:paraId="59E92160">
      <w:pPr>
        <w:pStyle w:val="2"/>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sz w:val="28"/>
          <w:szCs w:val="28"/>
        </w:rPr>
        <w:t>（4）</w:t>
      </w:r>
      <w:r>
        <w:rPr>
          <w:rFonts w:hint="eastAsia" w:ascii="华文仿宋" w:hAnsi="华文仿宋" w:eastAsia="华文仿宋" w:cs="华文仿宋"/>
          <w:color w:val="auto"/>
          <w:kern w:val="2"/>
          <w:sz w:val="28"/>
          <w:szCs w:val="28"/>
          <w:highlight w:val="none"/>
          <w:lang w:val="en-US" w:eastAsia="zh-CN" w:bidi="ar-SA"/>
        </w:rPr>
        <w:t>供应商未能在规定的时间内按照磋商小组的要求书面提交实质性变更响应文件的，视作未实质性响应。</w:t>
      </w:r>
    </w:p>
    <w:p w14:paraId="63051E64">
      <w:pPr>
        <w:spacing w:line="500" w:lineRule="exact"/>
        <w:ind w:firstLine="566" w:firstLineChars="200"/>
        <w:contextualSpacing/>
        <w:rPr>
          <w:rFonts w:ascii="华文仿宋" w:hAnsi="华文仿宋" w:cs="华文仿宋"/>
          <w:b/>
          <w:color w:val="auto"/>
        </w:rPr>
      </w:pPr>
      <w:r>
        <w:rPr>
          <w:rFonts w:hint="eastAsia" w:ascii="华文仿宋" w:hAnsi="华文仿宋" w:cs="华文仿宋"/>
          <w:b/>
          <w:color w:val="auto"/>
        </w:rPr>
        <w:t>6、最后报价</w:t>
      </w:r>
    </w:p>
    <w:p w14:paraId="6CC4D442">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（1）磋商文件能够详细列明采购标的的技术、服务要求的，磋商结束后，磋商小组应当要求所有实质性响应的供应商在规定时间内提交最后报价，提交最后报价的供应商不得少于</w:t>
      </w:r>
      <w:r>
        <w:rPr>
          <w:rFonts w:hint="eastAsia" w:ascii="仿宋" w:hAnsi="仿宋" w:eastAsia="仿宋" w:cs="仿宋"/>
          <w:color w:val="auto"/>
        </w:rPr>
        <w:t>3</w:t>
      </w:r>
      <w:r>
        <w:rPr>
          <w:rFonts w:hint="eastAsia" w:ascii="华文仿宋" w:hAnsi="华文仿宋" w:cs="华文仿宋"/>
          <w:color w:val="auto"/>
        </w:rPr>
        <w:t>家。</w:t>
      </w:r>
    </w:p>
    <w:p w14:paraId="6C6D3C2A">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（2）磋商文件不能详细列明采购标的的技术、服务要求，需经磋商由供应商提供最终设计方案或解决方案的，磋商结束后，磋商小组应当按照少数服从多数的原则投票推荐</w:t>
      </w:r>
      <w:r>
        <w:rPr>
          <w:rFonts w:hint="eastAsia" w:ascii="仿宋" w:hAnsi="仿宋" w:eastAsia="仿宋" w:cs="仿宋"/>
          <w:color w:val="auto"/>
        </w:rPr>
        <w:t>3</w:t>
      </w:r>
      <w:r>
        <w:rPr>
          <w:rFonts w:hint="eastAsia" w:ascii="华文仿宋" w:hAnsi="华文仿宋" w:cs="华文仿宋"/>
          <w:color w:val="auto"/>
        </w:rPr>
        <w:t>家以上供应商的设计方案或者解决方案，并要求其在规定时间内提交最后报价。</w:t>
      </w:r>
    </w:p>
    <w:p w14:paraId="155E46A7">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rPr>
        <w:t>（3）</w:t>
      </w:r>
      <w:r>
        <w:rPr>
          <w:rFonts w:hint="eastAsia" w:ascii="华文仿宋" w:hAnsi="华文仿宋" w:cs="华文仿宋"/>
          <w:color w:val="auto"/>
          <w:highlight w:val="none"/>
        </w:rPr>
        <w:t>最后报价是供应商响应文件的有效组成部分。符合《政府采购竞争性磋商采购方式管理暂行办法》第三条第四项情形的，即市场竞争不充分的科研项目，以及需要扶持的科技成果转化项目，提交最后报价的供应商可以为</w:t>
      </w:r>
      <w:r>
        <w:rPr>
          <w:rFonts w:hint="eastAsia" w:ascii="华文仿宋" w:hAnsi="华文仿宋" w:eastAsia="华文仿宋" w:cs="华文仿宋"/>
          <w:color w:val="auto"/>
          <w:highlight w:val="none"/>
        </w:rPr>
        <w:t>2</w:t>
      </w:r>
      <w:r>
        <w:rPr>
          <w:rFonts w:hint="eastAsia" w:ascii="华文仿宋" w:hAnsi="华文仿宋" w:cs="华文仿宋"/>
          <w:color w:val="auto"/>
          <w:highlight w:val="none"/>
        </w:rPr>
        <w:t>家。</w:t>
      </w:r>
      <w:r>
        <w:rPr>
          <w:rFonts w:hint="eastAsia" w:ascii="华文仿宋" w:hAnsi="华文仿宋" w:eastAsia="华文仿宋" w:cs="华文仿宋"/>
          <w:color w:val="auto"/>
          <w:highlight w:val="none"/>
        </w:rPr>
        <w:t>根据《财政部关于政府采购竞争性磋商采购方式管理暂行办法有关问题的补充通知》（财库〔2015〕124号），采购的政府购买服务项目（含政府和社会资本合作项目），在采购过程中符合要求的供应商（社会资本）只有2家的，竞争性磋商采购活动可以继续进行。</w:t>
      </w:r>
    </w:p>
    <w:p w14:paraId="46E605DA">
      <w:pPr>
        <w:spacing w:line="500" w:lineRule="exact"/>
        <w:ind w:firstLine="566" w:firstLineChars="200"/>
        <w:contextualSpacing/>
        <w:rPr>
          <w:rFonts w:ascii="华文仿宋" w:hAnsi="华文仿宋" w:cs="华文仿宋"/>
          <w:color w:val="auto"/>
        </w:rPr>
      </w:pPr>
      <w:r>
        <w:rPr>
          <w:rFonts w:hint="eastAsia" w:ascii="华文仿宋" w:hAnsi="华文仿宋" w:cs="华文仿宋"/>
          <w:color w:val="auto"/>
        </w:rPr>
        <w:t>（</w:t>
      </w:r>
      <w:r>
        <w:rPr>
          <w:rFonts w:ascii="华文仿宋" w:hAnsi="华文仿宋" w:cs="华文仿宋"/>
          <w:color w:val="auto"/>
        </w:rPr>
        <w:t>4）</w:t>
      </w:r>
      <w:r>
        <w:rPr>
          <w:rFonts w:hint="eastAsia" w:ascii="华文仿宋" w:hAnsi="华文仿宋" w:cs="华文仿宋"/>
          <w:color w:val="auto"/>
          <w:highlight w:val="none"/>
        </w:rPr>
        <w:t>供应商要在电子交易平台中提交最后报价，并用数字认证证书（CA锁）签章。平台系统无法使用时，供应商要以书面形式提交最后报价。最后报价表应由其法定代表人或授权代表签字或者加盖公章。最后报价将作为综合评分法中价格分的计算依据。</w:t>
      </w:r>
    </w:p>
    <w:p w14:paraId="5DB0516B">
      <w:pPr>
        <w:keepNext w:val="0"/>
        <w:keepLines w:val="0"/>
        <w:pageBreakBefore w:val="0"/>
        <w:widowControl/>
        <w:kinsoku/>
        <w:wordWrap/>
        <w:overflowPunct/>
        <w:topLinePunct w:val="0"/>
        <w:autoSpaceDE/>
        <w:autoSpaceDN/>
        <w:bidi w:val="0"/>
        <w:adjustRightInd/>
        <w:snapToGrid/>
        <w:spacing w:line="500" w:lineRule="exact"/>
        <w:ind w:firstLine="566" w:firstLineChars="200"/>
        <w:contextualSpacing/>
        <w:textAlignment w:val="auto"/>
        <w:rPr>
          <w:rFonts w:hint="eastAsia" w:ascii="华文仿宋" w:hAnsi="华文仿宋" w:cs="华文仿宋"/>
          <w:color w:val="auto"/>
          <w:highlight w:val="none"/>
          <w:lang w:val="en-US" w:eastAsia="zh-CN"/>
        </w:rPr>
      </w:pPr>
      <w:r>
        <w:rPr>
          <w:rFonts w:hint="eastAsia" w:ascii="华文仿宋" w:hAnsi="华文仿宋" w:cs="华文仿宋"/>
          <w:color w:val="auto"/>
        </w:rPr>
        <w:t>（5）</w:t>
      </w:r>
      <w:r>
        <w:rPr>
          <w:rFonts w:hint="eastAsia" w:ascii="华文仿宋" w:hAnsi="华文仿宋" w:cs="华文仿宋"/>
          <w:color w:val="auto"/>
          <w:highlight w:val="none"/>
        </w:rPr>
        <w:t>已提交响应文件的供应商，在提交最后报价之前，可以根据磋商情况书面申请退出磋商，书面申请应由其法定代表人或授权代表签字或者加盖公章。陕西省省级单位政府采购中心将退还其所交纳的磋商保证金。</w:t>
      </w:r>
      <w:r>
        <w:rPr>
          <w:rFonts w:hint="eastAsia" w:ascii="华文仿宋" w:hAnsi="华文仿宋" w:cs="华文仿宋"/>
          <w:color w:val="auto"/>
          <w:highlight w:val="none"/>
          <w:lang w:val="en-US" w:eastAsia="zh-CN"/>
        </w:rPr>
        <w:t xml:space="preserve">  </w:t>
      </w:r>
    </w:p>
    <w:p w14:paraId="1C501327">
      <w:pPr>
        <w:spacing w:line="500" w:lineRule="exact"/>
        <w:ind w:firstLine="566" w:firstLineChars="200"/>
        <w:contextualSpacing/>
        <w:rPr>
          <w:rFonts w:hint="eastAsia" w:ascii="Calibri" w:hAnsi="Calibri"/>
          <w:color w:val="auto"/>
          <w:highlight w:val="none"/>
        </w:rPr>
      </w:pPr>
      <w:r>
        <w:rPr>
          <w:rFonts w:hint="eastAsia" w:ascii="华文仿宋" w:hAnsi="华文仿宋" w:cs="华文仿宋"/>
          <w:color w:val="auto"/>
        </w:rPr>
        <w:t>（6）</w:t>
      </w:r>
      <w:r>
        <w:rPr>
          <w:rFonts w:hint="eastAsia" w:ascii="Calibri" w:hAnsi="Calibri"/>
          <w:color w:val="auto"/>
          <w:highlight w:val="none"/>
        </w:rPr>
        <w:t>磋商</w:t>
      </w:r>
      <w:r>
        <w:rPr>
          <w:rFonts w:ascii="Calibri" w:hAnsi="Calibri"/>
          <w:color w:val="auto"/>
          <w:highlight w:val="none"/>
        </w:rPr>
        <w:t>小组</w:t>
      </w:r>
      <w:r>
        <w:rPr>
          <w:rFonts w:hint="eastAsia" w:ascii="Calibri" w:hAnsi="Calibri"/>
          <w:color w:val="auto"/>
          <w:highlight w:val="none"/>
        </w:rPr>
        <w:t>认为供应商的报价明显低于其他通过符合性和响应性审查供应商的报价，有可能影响产品质量或者不能诚信履约的，要求供应商在规定时间内提供书面说明（必要时提交相关证明材料），供应商不能证明其报价合理性的，按无效响应对待。</w:t>
      </w:r>
    </w:p>
    <w:p w14:paraId="05472825">
      <w:pPr>
        <w:spacing w:line="500" w:lineRule="exact"/>
        <w:ind w:firstLine="566" w:firstLineChars="200"/>
        <w:rPr>
          <w:rFonts w:ascii="华文仿宋" w:hAnsi="华文仿宋" w:cs="华文仿宋"/>
          <w:b/>
          <w:color w:val="auto"/>
        </w:rPr>
      </w:pPr>
      <w:r>
        <w:rPr>
          <w:rFonts w:hint="eastAsia" w:ascii="华文仿宋" w:hAnsi="华文仿宋" w:cs="华文仿宋"/>
          <w:b/>
          <w:color w:val="auto"/>
        </w:rPr>
        <w:t>7、综合比较与评价</w:t>
      </w:r>
    </w:p>
    <w:p w14:paraId="5AC703F8">
      <w:pPr>
        <w:spacing w:line="500" w:lineRule="exact"/>
        <w:ind w:firstLine="566" w:firstLineChars="200"/>
        <w:rPr>
          <w:rFonts w:ascii="华文仿宋" w:hAnsi="华文仿宋" w:cs="华文仿宋"/>
          <w:color w:val="auto"/>
        </w:rPr>
      </w:pPr>
      <w:r>
        <w:rPr>
          <w:rFonts w:hint="eastAsia" w:ascii="华文仿宋" w:hAnsi="华文仿宋" w:cs="华文仿宋"/>
          <w:color w:val="auto"/>
        </w:rPr>
        <w:t>经磋商确定最终采购需求和提交最后报价的供应商后，由磋商小组按“评审要素及分值一览表”中规定的评审方法和标准，对提交最后报价的供应商的响应文件和最后报价进行综合评分。</w:t>
      </w:r>
    </w:p>
    <w:p w14:paraId="78549C49">
      <w:pPr>
        <w:spacing w:line="500" w:lineRule="exact"/>
        <w:ind w:firstLine="566" w:firstLineChars="200"/>
        <w:contextualSpacing/>
        <w:rPr>
          <w:b/>
          <w:bCs/>
          <w:color w:val="auto"/>
        </w:rPr>
      </w:pPr>
      <w:r>
        <w:rPr>
          <w:rFonts w:hint="eastAsia" w:ascii="华文仿宋" w:hAnsi="华文仿宋" w:cs="华文仿宋"/>
          <w:color w:val="auto"/>
        </w:rPr>
        <w:t>评审时，磋商小组各成员应当独立对每个有效响应的文件进行评价、打分，然后汇总每个供应商每项评审因素的得分。</w:t>
      </w:r>
      <w:bookmarkStart w:id="150" w:name="_Toc27187"/>
      <w:bookmarkStart w:id="151" w:name="_Toc27797"/>
      <w:bookmarkStart w:id="152" w:name="_Toc9626"/>
      <w:bookmarkStart w:id="153" w:name="_Toc2392"/>
    </w:p>
    <w:p w14:paraId="3852D836">
      <w:pPr>
        <w:spacing w:line="500" w:lineRule="exact"/>
        <w:jc w:val="center"/>
        <w:rPr>
          <w:b/>
          <w:bCs/>
          <w:color w:val="auto"/>
        </w:rPr>
      </w:pPr>
      <w:r>
        <w:rPr>
          <w:rFonts w:hint="eastAsia"/>
          <w:b/>
          <w:bCs/>
          <w:color w:val="auto"/>
        </w:rPr>
        <w:t>评审要素及分值一览表</w:t>
      </w:r>
      <w:bookmarkEnd w:id="150"/>
      <w:bookmarkEnd w:id="151"/>
      <w:bookmarkEnd w:id="152"/>
      <w:bookmarkEnd w:id="153"/>
    </w:p>
    <w:tbl>
      <w:tblPr>
        <w:tblStyle w:val="23"/>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89"/>
        <w:gridCol w:w="765"/>
        <w:gridCol w:w="780"/>
        <w:gridCol w:w="4995"/>
        <w:gridCol w:w="1236"/>
      </w:tblGrid>
      <w:tr w14:paraId="1CDA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22" w:type="dxa"/>
            <w:gridSpan w:val="2"/>
            <w:vAlign w:val="center"/>
          </w:tcPr>
          <w:p w14:paraId="05AF189B">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项别</w:t>
            </w:r>
          </w:p>
        </w:tc>
        <w:tc>
          <w:tcPr>
            <w:tcW w:w="1545" w:type="dxa"/>
            <w:gridSpan w:val="2"/>
            <w:vAlign w:val="center"/>
          </w:tcPr>
          <w:p w14:paraId="371D0D3C">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分项</w:t>
            </w:r>
          </w:p>
        </w:tc>
        <w:tc>
          <w:tcPr>
            <w:tcW w:w="4995" w:type="dxa"/>
            <w:vMerge w:val="restart"/>
            <w:vAlign w:val="center"/>
          </w:tcPr>
          <w:p w14:paraId="28ED5F38">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评审要素</w:t>
            </w:r>
          </w:p>
        </w:tc>
        <w:tc>
          <w:tcPr>
            <w:tcW w:w="1236" w:type="dxa"/>
            <w:vMerge w:val="restart"/>
            <w:vAlign w:val="center"/>
          </w:tcPr>
          <w:p w14:paraId="7C848C8B">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备注</w:t>
            </w:r>
          </w:p>
        </w:tc>
      </w:tr>
      <w:tr w14:paraId="2146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33" w:type="dxa"/>
            <w:vAlign w:val="center"/>
          </w:tcPr>
          <w:p w14:paraId="70238383">
            <w:pPr>
              <w:keepNext w:val="0"/>
              <w:keepLines w:val="0"/>
              <w:pageBreakBefore w:val="0"/>
              <w:kinsoku/>
              <w:wordWrap/>
              <w:overflowPunct/>
              <w:topLinePunct w:val="0"/>
              <w:bidi w:val="0"/>
              <w:spacing w:line="320" w:lineRule="exact"/>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789" w:type="dxa"/>
            <w:vAlign w:val="center"/>
          </w:tcPr>
          <w:p w14:paraId="50D5D249">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总分值100</w:t>
            </w:r>
          </w:p>
        </w:tc>
        <w:tc>
          <w:tcPr>
            <w:tcW w:w="765" w:type="dxa"/>
            <w:vAlign w:val="center"/>
          </w:tcPr>
          <w:p w14:paraId="7B9A6613">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名称</w:t>
            </w:r>
          </w:p>
        </w:tc>
        <w:tc>
          <w:tcPr>
            <w:tcW w:w="780" w:type="dxa"/>
          </w:tcPr>
          <w:p w14:paraId="461A7F6A">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分项</w:t>
            </w:r>
          </w:p>
          <w:p w14:paraId="061B8DC5">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最高</w:t>
            </w:r>
          </w:p>
          <w:p w14:paraId="794151BE">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分值</w:t>
            </w:r>
          </w:p>
        </w:tc>
        <w:tc>
          <w:tcPr>
            <w:tcW w:w="4995" w:type="dxa"/>
            <w:vMerge w:val="continue"/>
            <w:vAlign w:val="center"/>
          </w:tcPr>
          <w:p w14:paraId="3B700ADD">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p>
        </w:tc>
        <w:tc>
          <w:tcPr>
            <w:tcW w:w="1236" w:type="dxa"/>
            <w:vMerge w:val="continue"/>
            <w:vAlign w:val="center"/>
          </w:tcPr>
          <w:p w14:paraId="34A0E804">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p>
        </w:tc>
      </w:tr>
      <w:tr w14:paraId="31E3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3" w:type="dxa"/>
            <w:vAlign w:val="center"/>
          </w:tcPr>
          <w:p w14:paraId="7B38CD74">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w:t>
            </w:r>
          </w:p>
        </w:tc>
        <w:tc>
          <w:tcPr>
            <w:tcW w:w="789" w:type="dxa"/>
            <w:vAlign w:val="center"/>
          </w:tcPr>
          <w:p w14:paraId="5EDC01C4">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p>
        </w:tc>
        <w:tc>
          <w:tcPr>
            <w:tcW w:w="765" w:type="dxa"/>
            <w:vAlign w:val="center"/>
          </w:tcPr>
          <w:p w14:paraId="27925EA1">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w:t>
            </w:r>
          </w:p>
        </w:tc>
        <w:tc>
          <w:tcPr>
            <w:tcW w:w="780" w:type="dxa"/>
            <w:vAlign w:val="center"/>
          </w:tcPr>
          <w:p w14:paraId="2082F1A8">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4995" w:type="dxa"/>
            <w:vAlign w:val="center"/>
          </w:tcPr>
          <w:p w14:paraId="413E3E3D">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有效供应商最低报价为基准价得</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分，其他各供应商的报价得分按下列公式计算：</w:t>
            </w:r>
          </w:p>
          <w:p w14:paraId="1395DD69">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（基准价/投标报价）×</w:t>
            </w:r>
            <w:r>
              <w:rPr>
                <w:rFonts w:hint="eastAsia" w:ascii="仿宋" w:hAnsi="仿宋" w:eastAsia="仿宋" w:cs="仿宋"/>
                <w:b/>
                <w:bCs/>
                <w:color w:val="auto"/>
                <w:sz w:val="24"/>
                <w:szCs w:val="24"/>
                <w:lang w:val="en-US" w:eastAsia="zh-CN"/>
              </w:rPr>
              <w:t>15</w:t>
            </w:r>
            <w:r>
              <w:rPr>
                <w:rFonts w:hint="eastAsia" w:ascii="仿宋" w:hAnsi="仿宋" w:eastAsia="仿宋" w:cs="仿宋"/>
                <w:b/>
                <w:bCs/>
                <w:color w:val="auto"/>
                <w:sz w:val="24"/>
                <w:szCs w:val="24"/>
              </w:rPr>
              <w:t>％×100。</w:t>
            </w:r>
          </w:p>
        </w:tc>
        <w:tc>
          <w:tcPr>
            <w:tcW w:w="1236" w:type="dxa"/>
          </w:tcPr>
          <w:p w14:paraId="3AA78BB1">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根据“最后报价”计算价格得分。</w:t>
            </w:r>
          </w:p>
        </w:tc>
      </w:tr>
      <w:tr w14:paraId="3A0F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3" w:type="dxa"/>
            <w:vMerge w:val="restart"/>
            <w:vAlign w:val="center"/>
          </w:tcPr>
          <w:p w14:paraId="4D94A52A">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服务计划</w:t>
            </w:r>
          </w:p>
        </w:tc>
        <w:tc>
          <w:tcPr>
            <w:tcW w:w="789" w:type="dxa"/>
            <w:vMerge w:val="restart"/>
            <w:vAlign w:val="center"/>
          </w:tcPr>
          <w:p w14:paraId="14B5E70C">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w:t>
            </w:r>
          </w:p>
        </w:tc>
        <w:tc>
          <w:tcPr>
            <w:tcW w:w="765" w:type="dxa"/>
            <w:vAlign w:val="center"/>
          </w:tcPr>
          <w:p w14:paraId="04C387CF">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服务方案</w:t>
            </w:r>
          </w:p>
        </w:tc>
        <w:tc>
          <w:tcPr>
            <w:tcW w:w="780" w:type="dxa"/>
            <w:vAlign w:val="center"/>
          </w:tcPr>
          <w:p w14:paraId="4549AB88">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4995" w:type="dxa"/>
            <w:vAlign w:val="center"/>
          </w:tcPr>
          <w:p w14:paraId="571CC299">
            <w:pPr>
              <w:spacing w:line="320" w:lineRule="exact"/>
              <w:jc w:val="left"/>
              <w:rPr>
                <w:rFonts w:hint="eastAsia" w:ascii="仿宋" w:hAnsi="仿宋" w:eastAsia="仿宋" w:cs="仿宋"/>
                <w:sz w:val="24"/>
                <w:szCs w:val="24"/>
              </w:rPr>
            </w:pPr>
            <w:r>
              <w:rPr>
                <w:rFonts w:hint="eastAsia" w:ascii="仿宋" w:hAnsi="仿宋" w:eastAsia="仿宋" w:cs="仿宋"/>
                <w:sz w:val="24"/>
                <w:szCs w:val="24"/>
              </w:rPr>
              <w:t>针对本项目提出详细的服务方案，包括工作计划及实施时间、布置服务、值班方案、</w:t>
            </w:r>
            <w:r>
              <w:rPr>
                <w:rFonts w:hint="eastAsia" w:ascii="仿宋" w:hAnsi="仿宋" w:eastAsia="仿宋" w:cs="仿宋"/>
                <w:sz w:val="24"/>
                <w:szCs w:val="24"/>
                <w:lang w:eastAsia="zh-CN"/>
              </w:rPr>
              <w:t>保洁</w:t>
            </w:r>
            <w:r>
              <w:rPr>
                <w:rFonts w:hint="eastAsia" w:ascii="仿宋" w:hAnsi="仿宋" w:eastAsia="仿宋" w:cs="仿宋"/>
                <w:sz w:val="24"/>
                <w:szCs w:val="24"/>
              </w:rPr>
              <w:t>服务</w:t>
            </w:r>
            <w:r>
              <w:rPr>
                <w:rFonts w:hint="eastAsia" w:ascii="仿宋" w:hAnsi="仿宋" w:eastAsia="仿宋" w:cs="仿宋"/>
                <w:sz w:val="24"/>
                <w:szCs w:val="24"/>
                <w:lang w:eastAsia="zh-CN"/>
              </w:rPr>
              <w:t>、安保巡逻计划</w:t>
            </w:r>
            <w:r>
              <w:rPr>
                <w:rFonts w:hint="eastAsia" w:ascii="仿宋" w:hAnsi="仿宋" w:eastAsia="仿宋" w:cs="仿宋"/>
                <w:sz w:val="24"/>
                <w:szCs w:val="24"/>
              </w:rPr>
              <w:t>等。</w:t>
            </w:r>
          </w:p>
          <w:p w14:paraId="1CAB02C2">
            <w:pPr>
              <w:spacing w:line="320" w:lineRule="exact"/>
              <w:jc w:val="left"/>
              <w:rPr>
                <w:rFonts w:hint="eastAsia" w:ascii="仿宋" w:hAnsi="仿宋" w:eastAsia="仿宋" w:cs="仿宋"/>
                <w:sz w:val="24"/>
                <w:szCs w:val="24"/>
              </w:rPr>
            </w:pPr>
            <w:r>
              <w:rPr>
                <w:rFonts w:hint="eastAsia" w:ascii="仿宋" w:hAnsi="仿宋" w:eastAsia="仿宋" w:cs="仿宋"/>
                <w:sz w:val="24"/>
                <w:szCs w:val="24"/>
              </w:rPr>
              <w:t>服务计划科学、合理、规范，可操作性强，得</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14:paraId="5F22E1FD">
            <w:pPr>
              <w:spacing w:line="320" w:lineRule="exact"/>
              <w:jc w:val="left"/>
              <w:rPr>
                <w:rFonts w:hint="eastAsia" w:ascii="仿宋" w:hAnsi="仿宋" w:eastAsia="仿宋" w:cs="仿宋"/>
                <w:sz w:val="24"/>
                <w:szCs w:val="24"/>
              </w:rPr>
            </w:pPr>
            <w:r>
              <w:rPr>
                <w:rFonts w:hint="eastAsia" w:ascii="仿宋" w:hAnsi="仿宋" w:eastAsia="仿宋" w:cs="仿宋"/>
                <w:sz w:val="24"/>
                <w:szCs w:val="24"/>
              </w:rPr>
              <w:t>服务计划较为合理、规范，具有一定操作性，得</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分；</w:t>
            </w:r>
          </w:p>
          <w:p w14:paraId="33A154DD">
            <w:pPr>
              <w:spacing w:line="320" w:lineRule="exact"/>
              <w:jc w:val="left"/>
              <w:rPr>
                <w:rFonts w:hint="eastAsia" w:ascii="仿宋" w:hAnsi="仿宋" w:eastAsia="仿宋" w:cs="仿宋"/>
                <w:sz w:val="24"/>
                <w:szCs w:val="24"/>
              </w:rPr>
            </w:pPr>
            <w:r>
              <w:rPr>
                <w:rFonts w:hint="eastAsia" w:ascii="仿宋" w:hAnsi="仿宋" w:eastAsia="仿宋" w:cs="仿宋"/>
                <w:sz w:val="24"/>
                <w:szCs w:val="24"/>
              </w:rPr>
              <w:t>服务计划简单，不具备操作性，得0-</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14:paraId="15624CCB">
            <w:pPr>
              <w:keepNext w:val="0"/>
              <w:keepLines w:val="0"/>
              <w:pageBreakBefore w:val="0"/>
              <w:kinsoku/>
              <w:wordWrap/>
              <w:overflowPunct/>
              <w:topLinePunct w:val="0"/>
              <w:bidi w:val="0"/>
              <w:spacing w:line="320" w:lineRule="exact"/>
              <w:jc w:val="left"/>
              <w:textAlignment w:val="auto"/>
              <w:rPr>
                <w:rFonts w:hint="eastAsia" w:ascii="仿宋" w:hAnsi="仿宋" w:eastAsia="仿宋" w:cs="仿宋"/>
                <w:b/>
                <w:bCs/>
                <w:color w:val="auto"/>
                <w:sz w:val="24"/>
                <w:szCs w:val="24"/>
              </w:rPr>
            </w:pPr>
            <w:r>
              <w:rPr>
                <w:rFonts w:hint="eastAsia" w:ascii="仿宋" w:hAnsi="仿宋" w:eastAsia="仿宋" w:cs="仿宋"/>
                <w:sz w:val="24"/>
                <w:szCs w:val="24"/>
                <w:lang w:val="en-US" w:eastAsia="zh-CN"/>
              </w:rPr>
              <w:t>不描述不得分</w:t>
            </w:r>
          </w:p>
        </w:tc>
        <w:tc>
          <w:tcPr>
            <w:tcW w:w="1236" w:type="dxa"/>
          </w:tcPr>
          <w:p w14:paraId="758C31BE">
            <w:pPr>
              <w:keepNext w:val="0"/>
              <w:keepLines w:val="0"/>
              <w:pageBreakBefore w:val="0"/>
              <w:kinsoku/>
              <w:wordWrap/>
              <w:overflowPunct/>
              <w:topLinePunct w:val="0"/>
              <w:bidi w:val="0"/>
              <w:spacing w:line="320" w:lineRule="exact"/>
              <w:jc w:val="left"/>
              <w:textAlignment w:val="auto"/>
              <w:rPr>
                <w:rFonts w:hint="eastAsia" w:ascii="仿宋" w:hAnsi="仿宋" w:eastAsia="仿宋" w:cs="仿宋"/>
                <w:bCs/>
                <w:color w:val="auto"/>
                <w:sz w:val="24"/>
                <w:szCs w:val="24"/>
              </w:rPr>
            </w:pPr>
          </w:p>
        </w:tc>
      </w:tr>
      <w:tr w14:paraId="0C77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3" w:type="dxa"/>
            <w:vMerge w:val="continue"/>
            <w:vAlign w:val="center"/>
          </w:tcPr>
          <w:p w14:paraId="679F0A99">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lang w:eastAsia="zh-CN"/>
              </w:rPr>
            </w:pPr>
          </w:p>
        </w:tc>
        <w:tc>
          <w:tcPr>
            <w:tcW w:w="789" w:type="dxa"/>
            <w:vMerge w:val="continue"/>
            <w:vAlign w:val="center"/>
          </w:tcPr>
          <w:p w14:paraId="191632D3">
            <w:pPr>
              <w:keepNext w:val="0"/>
              <w:keepLines w:val="0"/>
              <w:pageBreakBefore w:val="0"/>
              <w:kinsoku/>
              <w:wordWrap/>
              <w:overflowPunct/>
              <w:topLinePunct w:val="0"/>
              <w:bidi w:val="0"/>
              <w:spacing w:line="320" w:lineRule="exact"/>
              <w:textAlignment w:val="auto"/>
              <w:rPr>
                <w:rFonts w:hint="eastAsia" w:ascii="仿宋" w:hAnsi="仿宋" w:eastAsia="仿宋" w:cs="仿宋"/>
                <w:color w:val="auto"/>
                <w:sz w:val="24"/>
                <w:szCs w:val="24"/>
                <w:lang w:val="en-US" w:eastAsia="zh-CN"/>
              </w:rPr>
            </w:pPr>
          </w:p>
        </w:tc>
        <w:tc>
          <w:tcPr>
            <w:tcW w:w="765" w:type="dxa"/>
            <w:vAlign w:val="center"/>
          </w:tcPr>
          <w:p w14:paraId="0FA13F8C">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应急方案</w:t>
            </w:r>
          </w:p>
        </w:tc>
        <w:tc>
          <w:tcPr>
            <w:tcW w:w="780" w:type="dxa"/>
            <w:vAlign w:val="center"/>
          </w:tcPr>
          <w:p w14:paraId="5BD381CC">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4995" w:type="dxa"/>
            <w:vAlign w:val="center"/>
          </w:tcPr>
          <w:p w14:paraId="0A56971A">
            <w:pPr>
              <w:spacing w:line="320" w:lineRule="exact"/>
              <w:rPr>
                <w:rFonts w:hint="eastAsia" w:ascii="仿宋" w:hAnsi="仿宋" w:eastAsia="仿宋" w:cs="仿宋"/>
                <w:sz w:val="24"/>
                <w:szCs w:val="24"/>
              </w:rPr>
            </w:pPr>
            <w:r>
              <w:rPr>
                <w:rFonts w:hint="eastAsia" w:ascii="仿宋" w:hAnsi="仿宋" w:eastAsia="仿宋" w:cs="仿宋"/>
                <w:sz w:val="24"/>
                <w:szCs w:val="24"/>
              </w:rPr>
              <w:t>根据本项目特点制定遇到火灾、水浸、电梯困人、上访、大型活动及其他紧急事件应急处理预案措施。</w:t>
            </w:r>
          </w:p>
          <w:p w14:paraId="707876DB">
            <w:pPr>
              <w:spacing w:line="320" w:lineRule="exact"/>
              <w:rPr>
                <w:rFonts w:hint="eastAsia" w:ascii="仿宋" w:hAnsi="仿宋" w:eastAsia="仿宋" w:cs="仿宋"/>
                <w:sz w:val="24"/>
                <w:szCs w:val="24"/>
              </w:rPr>
            </w:pPr>
            <w:r>
              <w:rPr>
                <w:rFonts w:hint="eastAsia" w:ascii="仿宋" w:hAnsi="仿宋" w:eastAsia="仿宋" w:cs="仿宋"/>
                <w:sz w:val="24"/>
                <w:szCs w:val="24"/>
              </w:rPr>
              <w:t>应急保障措施详尽、全面、有效、合理，可实施性强，得</w:t>
            </w:r>
            <w:r>
              <w:rPr>
                <w:rFonts w:hint="eastAsia" w:ascii="仿宋" w:hAnsi="仿宋" w:eastAsia="仿宋" w:cs="仿宋"/>
                <w:sz w:val="24"/>
                <w:szCs w:val="24"/>
                <w:lang w:val="en-US" w:eastAsia="zh-CN"/>
              </w:rPr>
              <w:t>3-6</w:t>
            </w:r>
            <w:r>
              <w:rPr>
                <w:rFonts w:hint="eastAsia" w:ascii="仿宋" w:hAnsi="仿宋" w:eastAsia="仿宋" w:cs="仿宋"/>
                <w:sz w:val="24"/>
                <w:szCs w:val="24"/>
              </w:rPr>
              <w:t>分；</w:t>
            </w:r>
          </w:p>
          <w:p w14:paraId="0E5DE42C">
            <w:pPr>
              <w:spacing w:line="320" w:lineRule="exact"/>
              <w:rPr>
                <w:rFonts w:hint="eastAsia" w:ascii="仿宋" w:hAnsi="仿宋" w:eastAsia="仿宋" w:cs="仿宋"/>
                <w:sz w:val="24"/>
                <w:szCs w:val="24"/>
              </w:rPr>
            </w:pPr>
            <w:r>
              <w:rPr>
                <w:rFonts w:hint="eastAsia" w:ascii="仿宋" w:hAnsi="仿宋" w:eastAsia="仿宋" w:cs="仿宋"/>
                <w:sz w:val="24"/>
                <w:szCs w:val="24"/>
              </w:rPr>
              <w:t>应急保障措施不全面、不合理，得0-3分。</w:t>
            </w:r>
          </w:p>
          <w:p w14:paraId="3CBF77D6">
            <w:pPr>
              <w:keepNext w:val="0"/>
              <w:keepLines w:val="0"/>
              <w:pageBreakBefore w:val="0"/>
              <w:kinsoku/>
              <w:wordWrap/>
              <w:overflowPunct/>
              <w:topLinePunct w:val="0"/>
              <w:bidi w:val="0"/>
              <w:spacing w:line="3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不描述不得分</w:t>
            </w:r>
          </w:p>
        </w:tc>
        <w:tc>
          <w:tcPr>
            <w:tcW w:w="1236" w:type="dxa"/>
          </w:tcPr>
          <w:p w14:paraId="209AF66E">
            <w:pPr>
              <w:keepNext w:val="0"/>
              <w:keepLines w:val="0"/>
              <w:pageBreakBefore w:val="0"/>
              <w:kinsoku/>
              <w:wordWrap/>
              <w:overflowPunct/>
              <w:topLinePunct w:val="0"/>
              <w:bidi w:val="0"/>
              <w:spacing w:line="320" w:lineRule="exact"/>
              <w:jc w:val="left"/>
              <w:textAlignment w:val="auto"/>
              <w:rPr>
                <w:rFonts w:hint="eastAsia" w:ascii="仿宋" w:hAnsi="仿宋" w:eastAsia="仿宋" w:cs="仿宋"/>
                <w:bCs/>
                <w:color w:val="auto"/>
                <w:sz w:val="24"/>
                <w:szCs w:val="24"/>
              </w:rPr>
            </w:pPr>
          </w:p>
        </w:tc>
      </w:tr>
      <w:tr w14:paraId="7B82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3" w:type="dxa"/>
            <w:vMerge w:val="continue"/>
            <w:vAlign w:val="center"/>
          </w:tcPr>
          <w:p w14:paraId="70CC95FA">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lang w:eastAsia="zh-CN"/>
              </w:rPr>
            </w:pPr>
          </w:p>
        </w:tc>
        <w:tc>
          <w:tcPr>
            <w:tcW w:w="789" w:type="dxa"/>
            <w:vMerge w:val="continue"/>
            <w:vAlign w:val="center"/>
          </w:tcPr>
          <w:p w14:paraId="5BDBAC73">
            <w:pPr>
              <w:keepNext w:val="0"/>
              <w:keepLines w:val="0"/>
              <w:pageBreakBefore w:val="0"/>
              <w:kinsoku/>
              <w:wordWrap/>
              <w:overflowPunct/>
              <w:topLinePunct w:val="0"/>
              <w:bidi w:val="0"/>
              <w:spacing w:line="320" w:lineRule="exact"/>
              <w:textAlignment w:val="auto"/>
              <w:rPr>
                <w:rFonts w:hint="eastAsia" w:ascii="仿宋" w:hAnsi="仿宋" w:eastAsia="仿宋" w:cs="仿宋"/>
                <w:color w:val="auto"/>
                <w:sz w:val="24"/>
                <w:szCs w:val="24"/>
                <w:lang w:val="en-US" w:eastAsia="zh-CN"/>
              </w:rPr>
            </w:pPr>
          </w:p>
        </w:tc>
        <w:tc>
          <w:tcPr>
            <w:tcW w:w="765" w:type="dxa"/>
            <w:vAlign w:val="center"/>
          </w:tcPr>
          <w:p w14:paraId="0069A804">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防疫方案</w:t>
            </w:r>
          </w:p>
        </w:tc>
        <w:tc>
          <w:tcPr>
            <w:tcW w:w="780" w:type="dxa"/>
            <w:vAlign w:val="center"/>
          </w:tcPr>
          <w:p w14:paraId="47726223">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4995" w:type="dxa"/>
            <w:vAlign w:val="center"/>
          </w:tcPr>
          <w:p w14:paraId="515238DC">
            <w:pPr>
              <w:autoSpaceDE w:val="0"/>
              <w:autoSpaceDN w:val="0"/>
              <w:adjustRightInd w:val="0"/>
              <w:spacing w:line="32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针对本项目提供专项防疫服务方案，包含但不限于防控方案、特殊人员处理、日常体温检测制度、日常防疫消杀等方面。</w:t>
            </w:r>
          </w:p>
          <w:p w14:paraId="1B26CF98">
            <w:pPr>
              <w:spacing w:line="320" w:lineRule="exact"/>
              <w:rPr>
                <w:rFonts w:hint="eastAsia" w:ascii="仿宋" w:hAnsi="仿宋" w:eastAsia="仿宋" w:cs="仿宋"/>
                <w:sz w:val="24"/>
                <w:szCs w:val="24"/>
              </w:rPr>
            </w:pPr>
            <w:r>
              <w:rPr>
                <w:rFonts w:hint="eastAsia" w:ascii="仿宋" w:hAnsi="仿宋" w:eastAsia="仿宋" w:cs="仿宋"/>
                <w:sz w:val="24"/>
                <w:szCs w:val="24"/>
                <w:lang w:eastAsia="zh-CN"/>
              </w:rPr>
              <w:t>防疫服务</w:t>
            </w:r>
            <w:r>
              <w:rPr>
                <w:rFonts w:hint="eastAsia" w:ascii="仿宋" w:hAnsi="仿宋" w:eastAsia="仿宋" w:cs="仿宋"/>
                <w:sz w:val="24"/>
                <w:szCs w:val="24"/>
              </w:rPr>
              <w:t>制度和方案详尽、全面、有效、合理，可实施性强，得</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45C2859D">
            <w:pPr>
              <w:autoSpaceDE w:val="0"/>
              <w:autoSpaceDN w:val="0"/>
              <w:adjustRightInd w:val="0"/>
              <w:spacing w:line="320" w:lineRule="exact"/>
              <w:rPr>
                <w:rFonts w:hint="eastAsia" w:ascii="仿宋" w:hAnsi="仿宋" w:eastAsia="仿宋" w:cs="仿宋"/>
                <w:sz w:val="24"/>
                <w:szCs w:val="24"/>
              </w:rPr>
            </w:pPr>
            <w:r>
              <w:rPr>
                <w:rFonts w:hint="eastAsia" w:ascii="仿宋" w:hAnsi="仿宋" w:eastAsia="仿宋" w:cs="仿宋"/>
                <w:sz w:val="24"/>
                <w:szCs w:val="24"/>
              </w:rPr>
              <w:t>管理制度和方案不全面、不合理，得</w:t>
            </w:r>
            <w:r>
              <w:rPr>
                <w:rFonts w:hint="eastAsia" w:ascii="仿宋" w:hAnsi="仿宋" w:eastAsia="仿宋" w:cs="仿宋"/>
                <w:sz w:val="24"/>
                <w:szCs w:val="24"/>
                <w:lang w:val="en-US" w:eastAsia="zh-CN"/>
              </w:rPr>
              <w:t>0-3</w:t>
            </w:r>
            <w:r>
              <w:rPr>
                <w:rFonts w:hint="eastAsia" w:ascii="仿宋" w:hAnsi="仿宋" w:eastAsia="仿宋" w:cs="仿宋"/>
                <w:sz w:val="24"/>
                <w:szCs w:val="24"/>
              </w:rPr>
              <w:t>分。</w:t>
            </w:r>
          </w:p>
          <w:p w14:paraId="1FAE93F9">
            <w:pPr>
              <w:keepNext w:val="0"/>
              <w:keepLines w:val="0"/>
              <w:pageBreakBefore w:val="0"/>
              <w:kinsoku/>
              <w:wordWrap/>
              <w:overflowPunct/>
              <w:topLinePunct w:val="0"/>
              <w:bidi w:val="0"/>
              <w:spacing w:line="32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不描述不得分</w:t>
            </w:r>
          </w:p>
        </w:tc>
        <w:tc>
          <w:tcPr>
            <w:tcW w:w="1236" w:type="dxa"/>
          </w:tcPr>
          <w:p w14:paraId="76861BA8">
            <w:pPr>
              <w:keepNext w:val="0"/>
              <w:keepLines w:val="0"/>
              <w:pageBreakBefore w:val="0"/>
              <w:kinsoku/>
              <w:wordWrap/>
              <w:overflowPunct/>
              <w:topLinePunct w:val="0"/>
              <w:bidi w:val="0"/>
              <w:spacing w:line="320" w:lineRule="exact"/>
              <w:jc w:val="left"/>
              <w:textAlignment w:val="auto"/>
              <w:rPr>
                <w:rFonts w:hint="eastAsia" w:ascii="仿宋" w:hAnsi="仿宋" w:eastAsia="仿宋" w:cs="仿宋"/>
                <w:bCs/>
                <w:color w:val="auto"/>
                <w:sz w:val="24"/>
                <w:szCs w:val="24"/>
              </w:rPr>
            </w:pPr>
          </w:p>
        </w:tc>
      </w:tr>
      <w:tr w14:paraId="56F5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3" w:type="dxa"/>
            <w:vMerge w:val="continue"/>
            <w:vAlign w:val="center"/>
          </w:tcPr>
          <w:p w14:paraId="0F9D23FE">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lang w:eastAsia="zh-CN"/>
              </w:rPr>
            </w:pPr>
          </w:p>
        </w:tc>
        <w:tc>
          <w:tcPr>
            <w:tcW w:w="789" w:type="dxa"/>
            <w:vMerge w:val="continue"/>
            <w:vAlign w:val="center"/>
          </w:tcPr>
          <w:p w14:paraId="79200034">
            <w:pPr>
              <w:keepNext w:val="0"/>
              <w:keepLines w:val="0"/>
              <w:pageBreakBefore w:val="0"/>
              <w:kinsoku/>
              <w:wordWrap/>
              <w:overflowPunct/>
              <w:topLinePunct w:val="0"/>
              <w:bidi w:val="0"/>
              <w:spacing w:line="320" w:lineRule="exact"/>
              <w:textAlignment w:val="auto"/>
              <w:rPr>
                <w:rFonts w:hint="eastAsia" w:ascii="仿宋" w:hAnsi="仿宋" w:eastAsia="仿宋" w:cs="仿宋"/>
                <w:color w:val="auto"/>
                <w:sz w:val="24"/>
                <w:szCs w:val="24"/>
                <w:lang w:val="en-US" w:eastAsia="zh-CN"/>
              </w:rPr>
            </w:pPr>
          </w:p>
        </w:tc>
        <w:tc>
          <w:tcPr>
            <w:tcW w:w="765" w:type="dxa"/>
            <w:vAlign w:val="center"/>
          </w:tcPr>
          <w:p w14:paraId="4958DE1B">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投入工具情况</w:t>
            </w:r>
          </w:p>
        </w:tc>
        <w:tc>
          <w:tcPr>
            <w:tcW w:w="780" w:type="dxa"/>
            <w:vAlign w:val="center"/>
          </w:tcPr>
          <w:p w14:paraId="6AF0C014">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4995" w:type="dxa"/>
            <w:vAlign w:val="center"/>
          </w:tcPr>
          <w:p w14:paraId="6FCC1AF0">
            <w:pPr>
              <w:autoSpaceDE w:val="0"/>
              <w:autoSpaceDN w:val="0"/>
              <w:adjustRightInd w:val="0"/>
              <w:spacing w:line="320" w:lineRule="exact"/>
              <w:rPr>
                <w:rFonts w:hint="eastAsia" w:ascii="仿宋" w:hAnsi="仿宋" w:eastAsia="仿宋" w:cs="仿宋"/>
                <w:sz w:val="24"/>
                <w:szCs w:val="24"/>
              </w:rPr>
            </w:pPr>
            <w:r>
              <w:rPr>
                <w:rFonts w:hint="eastAsia" w:ascii="仿宋" w:hAnsi="仿宋" w:eastAsia="仿宋" w:cs="仿宋"/>
                <w:sz w:val="24"/>
                <w:szCs w:val="24"/>
              </w:rPr>
              <w:t>针对本项目提供所需要的劳保用品、工作服装、清洁工具、通讯工具、</w:t>
            </w:r>
            <w:r>
              <w:rPr>
                <w:rFonts w:hint="eastAsia" w:ascii="仿宋" w:hAnsi="仿宋" w:eastAsia="仿宋" w:cs="仿宋"/>
                <w:sz w:val="24"/>
                <w:szCs w:val="24"/>
                <w:lang w:eastAsia="zh-CN"/>
              </w:rPr>
              <w:t>安保防护用品、日常巡逻用品、</w:t>
            </w:r>
            <w:r>
              <w:rPr>
                <w:rFonts w:hint="eastAsia" w:ascii="仿宋" w:hAnsi="仿宋" w:eastAsia="仿宋" w:cs="仿宋"/>
                <w:sz w:val="24"/>
                <w:szCs w:val="24"/>
              </w:rPr>
              <w:t>机械等的配备情况。</w:t>
            </w:r>
          </w:p>
          <w:p w14:paraId="533A7FA7">
            <w:pPr>
              <w:autoSpaceDE w:val="0"/>
              <w:autoSpaceDN w:val="0"/>
              <w:adjustRightInd w:val="0"/>
              <w:spacing w:line="320" w:lineRule="exact"/>
              <w:rPr>
                <w:rFonts w:hint="eastAsia" w:ascii="仿宋" w:hAnsi="仿宋" w:eastAsia="仿宋" w:cs="仿宋"/>
                <w:sz w:val="24"/>
                <w:szCs w:val="24"/>
              </w:rPr>
            </w:pPr>
            <w:r>
              <w:rPr>
                <w:rFonts w:hint="eastAsia" w:ascii="仿宋" w:hAnsi="仿宋" w:eastAsia="仿宋" w:cs="仿宋"/>
                <w:sz w:val="24"/>
                <w:szCs w:val="24"/>
              </w:rPr>
              <w:t>机械设备</w:t>
            </w:r>
            <w:r>
              <w:rPr>
                <w:rFonts w:hint="eastAsia" w:ascii="仿宋" w:hAnsi="仿宋" w:eastAsia="仿宋" w:cs="仿宋"/>
                <w:sz w:val="24"/>
                <w:szCs w:val="24"/>
                <w:lang w:eastAsia="zh-CN"/>
              </w:rPr>
              <w:t>、装备</w:t>
            </w:r>
            <w:r>
              <w:rPr>
                <w:rFonts w:hint="eastAsia" w:ascii="仿宋" w:hAnsi="仿宋" w:eastAsia="仿宋" w:cs="仿宋"/>
                <w:sz w:val="24"/>
                <w:szCs w:val="24"/>
              </w:rPr>
              <w:t>工具种类齐全、能完全满足物业需要、能及时补充、更换、人员服装统一，得</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75CEB199">
            <w:pPr>
              <w:autoSpaceDE w:val="0"/>
              <w:autoSpaceDN w:val="0"/>
              <w:adjustRightInd w:val="0"/>
              <w:spacing w:line="320" w:lineRule="exact"/>
              <w:rPr>
                <w:rFonts w:hint="eastAsia" w:ascii="仿宋" w:hAnsi="仿宋" w:eastAsia="仿宋" w:cs="仿宋"/>
                <w:sz w:val="24"/>
                <w:szCs w:val="24"/>
              </w:rPr>
            </w:pPr>
            <w:r>
              <w:rPr>
                <w:rFonts w:hint="eastAsia" w:ascii="仿宋" w:hAnsi="仿宋" w:eastAsia="仿宋" w:cs="仿宋"/>
                <w:sz w:val="24"/>
                <w:szCs w:val="24"/>
              </w:rPr>
              <w:t>机械</w:t>
            </w:r>
            <w:r>
              <w:rPr>
                <w:rFonts w:hint="eastAsia" w:ascii="仿宋" w:hAnsi="仿宋" w:eastAsia="仿宋" w:cs="仿宋"/>
                <w:sz w:val="24"/>
                <w:szCs w:val="24"/>
                <w:lang w:eastAsia="zh-CN"/>
              </w:rPr>
              <w:t>设备</w:t>
            </w:r>
            <w:r>
              <w:rPr>
                <w:rFonts w:hint="eastAsia" w:ascii="仿宋" w:hAnsi="仿宋" w:eastAsia="仿宋" w:cs="仿宋"/>
                <w:sz w:val="24"/>
                <w:szCs w:val="24"/>
              </w:rPr>
              <w:t>、</w:t>
            </w:r>
            <w:r>
              <w:rPr>
                <w:rFonts w:hint="eastAsia" w:ascii="仿宋" w:hAnsi="仿宋" w:eastAsia="仿宋" w:cs="仿宋"/>
                <w:sz w:val="24"/>
                <w:szCs w:val="24"/>
                <w:lang w:eastAsia="zh-CN"/>
              </w:rPr>
              <w:t>装备</w:t>
            </w:r>
            <w:r>
              <w:rPr>
                <w:rFonts w:hint="eastAsia" w:ascii="仿宋" w:hAnsi="仿宋" w:eastAsia="仿宋" w:cs="仿宋"/>
                <w:sz w:val="24"/>
                <w:szCs w:val="24"/>
              </w:rPr>
              <w:t>工具不齐全、人员服装不统一，得0-3分。</w:t>
            </w:r>
          </w:p>
          <w:p w14:paraId="3C144377">
            <w:pPr>
              <w:keepNext w:val="0"/>
              <w:keepLines w:val="0"/>
              <w:pageBreakBefore w:val="0"/>
              <w:kinsoku/>
              <w:wordWrap/>
              <w:overflowPunct/>
              <w:topLinePunct w:val="0"/>
              <w:bidi w:val="0"/>
              <w:spacing w:line="32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不描述不得分</w:t>
            </w:r>
          </w:p>
        </w:tc>
        <w:tc>
          <w:tcPr>
            <w:tcW w:w="1236" w:type="dxa"/>
          </w:tcPr>
          <w:p w14:paraId="24E1E3CF">
            <w:pPr>
              <w:keepNext w:val="0"/>
              <w:keepLines w:val="0"/>
              <w:pageBreakBefore w:val="0"/>
              <w:kinsoku/>
              <w:wordWrap/>
              <w:overflowPunct/>
              <w:topLinePunct w:val="0"/>
              <w:bidi w:val="0"/>
              <w:spacing w:line="320" w:lineRule="exact"/>
              <w:jc w:val="left"/>
              <w:textAlignment w:val="auto"/>
              <w:rPr>
                <w:rFonts w:hint="eastAsia" w:ascii="仿宋" w:hAnsi="仿宋" w:eastAsia="仿宋" w:cs="仿宋"/>
                <w:bCs/>
                <w:color w:val="auto"/>
                <w:sz w:val="24"/>
                <w:szCs w:val="24"/>
              </w:rPr>
            </w:pPr>
          </w:p>
        </w:tc>
      </w:tr>
      <w:tr w14:paraId="67BB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3" w:type="dxa"/>
            <w:vMerge w:val="continue"/>
            <w:vAlign w:val="center"/>
          </w:tcPr>
          <w:p w14:paraId="20C0E9C7">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lang w:eastAsia="zh-CN"/>
              </w:rPr>
            </w:pPr>
          </w:p>
        </w:tc>
        <w:tc>
          <w:tcPr>
            <w:tcW w:w="789" w:type="dxa"/>
            <w:vMerge w:val="continue"/>
            <w:vAlign w:val="center"/>
          </w:tcPr>
          <w:p w14:paraId="17E61CE1">
            <w:pPr>
              <w:keepNext w:val="0"/>
              <w:keepLines w:val="0"/>
              <w:pageBreakBefore w:val="0"/>
              <w:kinsoku/>
              <w:wordWrap/>
              <w:overflowPunct/>
              <w:topLinePunct w:val="0"/>
              <w:bidi w:val="0"/>
              <w:spacing w:line="320" w:lineRule="exact"/>
              <w:textAlignment w:val="auto"/>
              <w:rPr>
                <w:rFonts w:hint="eastAsia" w:ascii="仿宋" w:hAnsi="仿宋" w:eastAsia="仿宋" w:cs="仿宋"/>
                <w:color w:val="auto"/>
                <w:sz w:val="24"/>
                <w:szCs w:val="24"/>
                <w:lang w:val="en-US" w:eastAsia="zh-CN"/>
              </w:rPr>
            </w:pPr>
          </w:p>
        </w:tc>
        <w:tc>
          <w:tcPr>
            <w:tcW w:w="765" w:type="dxa"/>
            <w:vAlign w:val="center"/>
          </w:tcPr>
          <w:p w14:paraId="4275194B">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培训方案</w:t>
            </w:r>
          </w:p>
        </w:tc>
        <w:tc>
          <w:tcPr>
            <w:tcW w:w="780" w:type="dxa"/>
            <w:vAlign w:val="center"/>
          </w:tcPr>
          <w:p w14:paraId="6565F165">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4995" w:type="dxa"/>
            <w:vAlign w:val="center"/>
          </w:tcPr>
          <w:p w14:paraId="434E620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针对本项目拟投入上岗人员制定岗前知识培训方案，并在项目实施过程中定期对上岗人员进行岗位培训。针对培训方案进行赋分。</w:t>
            </w:r>
          </w:p>
          <w:p w14:paraId="571C922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培训方案全面有效、可实施性强得</w:t>
            </w:r>
            <w:r>
              <w:rPr>
                <w:rFonts w:hint="eastAsia" w:ascii="仿宋" w:hAnsi="仿宋" w:eastAsia="仿宋" w:cs="仿宋"/>
                <w:sz w:val="24"/>
                <w:szCs w:val="24"/>
                <w:lang w:val="en-US" w:eastAsia="zh-CN"/>
              </w:rPr>
              <w:t>3-6分；</w:t>
            </w:r>
          </w:p>
          <w:p w14:paraId="2BE3153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培训方案不全面、可实施性差得0-3分。</w:t>
            </w:r>
          </w:p>
          <w:p w14:paraId="0E2A46D6">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lang w:val="en-US" w:eastAsia="zh-CN"/>
              </w:rPr>
            </w:pPr>
            <w:r>
              <w:rPr>
                <w:rFonts w:hint="eastAsia" w:ascii="仿宋" w:hAnsi="仿宋" w:eastAsia="仿宋" w:cs="仿宋"/>
                <w:sz w:val="24"/>
                <w:szCs w:val="24"/>
                <w:lang w:val="en-US" w:eastAsia="zh-CN"/>
              </w:rPr>
              <w:t>不描述不得分。</w:t>
            </w:r>
          </w:p>
        </w:tc>
        <w:tc>
          <w:tcPr>
            <w:tcW w:w="1236" w:type="dxa"/>
          </w:tcPr>
          <w:p w14:paraId="0BAA19C5">
            <w:pPr>
              <w:keepNext w:val="0"/>
              <w:keepLines w:val="0"/>
              <w:pageBreakBefore w:val="0"/>
              <w:kinsoku/>
              <w:wordWrap/>
              <w:overflowPunct/>
              <w:topLinePunct w:val="0"/>
              <w:bidi w:val="0"/>
              <w:spacing w:line="320" w:lineRule="exact"/>
              <w:jc w:val="left"/>
              <w:textAlignment w:val="auto"/>
              <w:rPr>
                <w:rFonts w:hint="eastAsia" w:ascii="仿宋" w:hAnsi="仿宋" w:eastAsia="仿宋" w:cs="仿宋"/>
                <w:bCs/>
                <w:color w:val="auto"/>
                <w:sz w:val="24"/>
                <w:szCs w:val="24"/>
              </w:rPr>
            </w:pPr>
          </w:p>
        </w:tc>
      </w:tr>
      <w:tr w14:paraId="05A9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3" w:type="dxa"/>
            <w:vMerge w:val="continue"/>
            <w:vAlign w:val="center"/>
          </w:tcPr>
          <w:p w14:paraId="60250A1F">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lang w:eastAsia="zh-CN"/>
              </w:rPr>
            </w:pPr>
          </w:p>
        </w:tc>
        <w:tc>
          <w:tcPr>
            <w:tcW w:w="789" w:type="dxa"/>
            <w:vMerge w:val="continue"/>
            <w:vAlign w:val="center"/>
          </w:tcPr>
          <w:p w14:paraId="7684E7B2">
            <w:pPr>
              <w:keepNext w:val="0"/>
              <w:keepLines w:val="0"/>
              <w:pageBreakBefore w:val="0"/>
              <w:kinsoku/>
              <w:wordWrap/>
              <w:overflowPunct/>
              <w:topLinePunct w:val="0"/>
              <w:bidi w:val="0"/>
              <w:spacing w:line="320" w:lineRule="exact"/>
              <w:textAlignment w:val="auto"/>
              <w:rPr>
                <w:rFonts w:hint="eastAsia" w:ascii="仿宋" w:hAnsi="仿宋" w:eastAsia="仿宋" w:cs="仿宋"/>
                <w:color w:val="auto"/>
                <w:sz w:val="24"/>
                <w:szCs w:val="24"/>
                <w:lang w:val="en-US" w:eastAsia="zh-CN"/>
              </w:rPr>
            </w:pPr>
          </w:p>
        </w:tc>
        <w:tc>
          <w:tcPr>
            <w:tcW w:w="765" w:type="dxa"/>
            <w:vAlign w:val="center"/>
          </w:tcPr>
          <w:p w14:paraId="54AC4014">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岗位制度</w:t>
            </w:r>
          </w:p>
        </w:tc>
        <w:tc>
          <w:tcPr>
            <w:tcW w:w="780" w:type="dxa"/>
            <w:vAlign w:val="center"/>
          </w:tcPr>
          <w:p w14:paraId="09E4AF7F">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4995" w:type="dxa"/>
            <w:vAlign w:val="center"/>
          </w:tcPr>
          <w:p w14:paraId="314AE79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针对本项目提出完整的</w:t>
            </w:r>
            <w:r>
              <w:rPr>
                <w:rFonts w:hint="eastAsia" w:ascii="仿宋" w:hAnsi="仿宋" w:eastAsia="仿宋" w:cs="仿宋"/>
                <w:sz w:val="24"/>
                <w:szCs w:val="24"/>
                <w:lang w:eastAsia="zh-CN"/>
              </w:rPr>
              <w:t>岗位</w:t>
            </w:r>
            <w:r>
              <w:rPr>
                <w:rFonts w:hint="eastAsia" w:ascii="仿宋" w:hAnsi="仿宋" w:eastAsia="仿宋" w:cs="仿宋"/>
                <w:sz w:val="24"/>
                <w:szCs w:val="24"/>
              </w:rPr>
              <w:t>制度，包括岗位工作标准、</w:t>
            </w:r>
            <w:r>
              <w:rPr>
                <w:rFonts w:hint="eastAsia" w:ascii="仿宋" w:hAnsi="仿宋" w:eastAsia="仿宋" w:cs="仿宋"/>
                <w:sz w:val="24"/>
                <w:szCs w:val="24"/>
                <w:lang w:eastAsia="zh-CN"/>
              </w:rPr>
              <w:t>奖惩措施、岗位完整流程体系、岗位考核等。</w:t>
            </w:r>
          </w:p>
          <w:p w14:paraId="5CD6AD9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管理制度健全、规范、可行得</w:t>
            </w:r>
            <w:r>
              <w:rPr>
                <w:rFonts w:hint="eastAsia" w:ascii="仿宋" w:hAnsi="仿宋" w:eastAsia="仿宋" w:cs="仿宋"/>
                <w:sz w:val="24"/>
                <w:szCs w:val="24"/>
                <w:lang w:val="en-US" w:eastAsia="zh-CN"/>
              </w:rPr>
              <w:t>3-6分；</w:t>
            </w:r>
          </w:p>
          <w:p w14:paraId="252B769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管理制度不健全、不规范得</w:t>
            </w:r>
            <w:r>
              <w:rPr>
                <w:rFonts w:hint="eastAsia" w:ascii="仿宋" w:hAnsi="仿宋" w:eastAsia="仿宋" w:cs="仿宋"/>
                <w:sz w:val="24"/>
                <w:szCs w:val="24"/>
                <w:lang w:val="en-US" w:eastAsia="zh-CN"/>
              </w:rPr>
              <w:t>0-3分。</w:t>
            </w:r>
          </w:p>
          <w:p w14:paraId="60DF7C9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lang w:val="en-US" w:eastAsia="zh-CN"/>
              </w:rPr>
            </w:pPr>
            <w:r>
              <w:rPr>
                <w:rFonts w:hint="eastAsia" w:ascii="仿宋" w:hAnsi="仿宋" w:eastAsia="仿宋" w:cs="仿宋"/>
                <w:sz w:val="24"/>
                <w:szCs w:val="24"/>
                <w:lang w:val="en-US" w:eastAsia="zh-CN"/>
              </w:rPr>
              <w:t>不描述不得分</w:t>
            </w:r>
          </w:p>
        </w:tc>
        <w:tc>
          <w:tcPr>
            <w:tcW w:w="1236" w:type="dxa"/>
          </w:tcPr>
          <w:p w14:paraId="407077FC">
            <w:pPr>
              <w:keepNext w:val="0"/>
              <w:keepLines w:val="0"/>
              <w:pageBreakBefore w:val="0"/>
              <w:kinsoku/>
              <w:wordWrap/>
              <w:overflowPunct/>
              <w:topLinePunct w:val="0"/>
              <w:bidi w:val="0"/>
              <w:spacing w:line="320" w:lineRule="exact"/>
              <w:jc w:val="left"/>
              <w:textAlignment w:val="auto"/>
              <w:rPr>
                <w:rFonts w:hint="eastAsia" w:ascii="仿宋" w:hAnsi="仿宋" w:eastAsia="仿宋" w:cs="仿宋"/>
                <w:bCs/>
                <w:color w:val="auto"/>
                <w:sz w:val="24"/>
                <w:szCs w:val="24"/>
              </w:rPr>
            </w:pPr>
          </w:p>
        </w:tc>
      </w:tr>
      <w:tr w14:paraId="478E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3" w:type="dxa"/>
            <w:vMerge w:val="continue"/>
            <w:vAlign w:val="center"/>
          </w:tcPr>
          <w:p w14:paraId="787BA1AE">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lang w:eastAsia="zh-CN"/>
              </w:rPr>
            </w:pPr>
          </w:p>
        </w:tc>
        <w:tc>
          <w:tcPr>
            <w:tcW w:w="789" w:type="dxa"/>
            <w:vMerge w:val="continue"/>
            <w:vAlign w:val="center"/>
          </w:tcPr>
          <w:p w14:paraId="04CE3612">
            <w:pPr>
              <w:keepNext w:val="0"/>
              <w:keepLines w:val="0"/>
              <w:pageBreakBefore w:val="0"/>
              <w:kinsoku/>
              <w:wordWrap/>
              <w:overflowPunct/>
              <w:topLinePunct w:val="0"/>
              <w:bidi w:val="0"/>
              <w:spacing w:line="320" w:lineRule="exact"/>
              <w:textAlignment w:val="auto"/>
              <w:rPr>
                <w:rFonts w:hint="eastAsia" w:ascii="仿宋" w:hAnsi="仿宋" w:eastAsia="仿宋" w:cs="仿宋"/>
                <w:color w:val="auto"/>
                <w:sz w:val="24"/>
                <w:szCs w:val="24"/>
                <w:lang w:val="en-US" w:eastAsia="zh-CN"/>
              </w:rPr>
            </w:pPr>
          </w:p>
        </w:tc>
        <w:tc>
          <w:tcPr>
            <w:tcW w:w="765" w:type="dxa"/>
            <w:vAlign w:val="center"/>
          </w:tcPr>
          <w:p w14:paraId="069E0589">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难点理解</w:t>
            </w:r>
          </w:p>
        </w:tc>
        <w:tc>
          <w:tcPr>
            <w:tcW w:w="780" w:type="dxa"/>
            <w:vAlign w:val="center"/>
          </w:tcPr>
          <w:p w14:paraId="00F5BDC1">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4995" w:type="dxa"/>
            <w:vAlign w:val="center"/>
          </w:tcPr>
          <w:p w14:paraId="4B9D16C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针对本项目实施过程中的重点和难点，提供有针对性的理解分析与应对措施.</w:t>
            </w:r>
          </w:p>
          <w:p w14:paraId="13DC180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理解分析全面、应对措施具体有效得3-6分。</w:t>
            </w:r>
          </w:p>
          <w:p w14:paraId="75660E9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理解分析不全面、应对措施无效得0-3分。</w:t>
            </w:r>
          </w:p>
          <w:p w14:paraId="7CBF350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不描述不得分</w:t>
            </w:r>
          </w:p>
        </w:tc>
        <w:tc>
          <w:tcPr>
            <w:tcW w:w="1236" w:type="dxa"/>
          </w:tcPr>
          <w:p w14:paraId="1DFC4E1C">
            <w:pPr>
              <w:keepNext w:val="0"/>
              <w:keepLines w:val="0"/>
              <w:pageBreakBefore w:val="0"/>
              <w:kinsoku/>
              <w:wordWrap/>
              <w:overflowPunct/>
              <w:topLinePunct w:val="0"/>
              <w:bidi w:val="0"/>
              <w:spacing w:line="320" w:lineRule="exact"/>
              <w:jc w:val="left"/>
              <w:textAlignment w:val="auto"/>
              <w:rPr>
                <w:rFonts w:hint="eastAsia" w:ascii="仿宋" w:hAnsi="仿宋" w:eastAsia="仿宋" w:cs="仿宋"/>
                <w:bCs/>
                <w:color w:val="auto"/>
                <w:sz w:val="24"/>
                <w:szCs w:val="24"/>
              </w:rPr>
            </w:pPr>
          </w:p>
        </w:tc>
      </w:tr>
      <w:tr w14:paraId="701A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733" w:type="dxa"/>
            <w:vMerge w:val="restart"/>
            <w:vAlign w:val="center"/>
          </w:tcPr>
          <w:p w14:paraId="691E3211">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人员配置</w:t>
            </w:r>
          </w:p>
        </w:tc>
        <w:tc>
          <w:tcPr>
            <w:tcW w:w="789" w:type="dxa"/>
            <w:vMerge w:val="restart"/>
            <w:vAlign w:val="center"/>
          </w:tcPr>
          <w:p w14:paraId="51EF7E1B">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765" w:type="dxa"/>
            <w:vAlign w:val="center"/>
          </w:tcPr>
          <w:p w14:paraId="46B48E3E">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项目经理</w:t>
            </w:r>
          </w:p>
        </w:tc>
        <w:tc>
          <w:tcPr>
            <w:tcW w:w="780" w:type="dxa"/>
            <w:vAlign w:val="center"/>
          </w:tcPr>
          <w:p w14:paraId="66157169">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4995" w:type="dxa"/>
            <w:vAlign w:val="center"/>
          </w:tcPr>
          <w:p w14:paraId="6EF18A5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拟任项目经理人员固定，要求大专及以上文化程度得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rPr>
              <w:t>需提供项目经理学历证明材料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需提供</w:t>
            </w:r>
            <w:r>
              <w:rPr>
                <w:rFonts w:hint="eastAsia" w:ascii="仿宋" w:hAnsi="仿宋" w:eastAsia="仿宋" w:cs="仿宋"/>
                <w:sz w:val="24"/>
                <w:szCs w:val="24"/>
              </w:rPr>
              <w:t>项目经理与</w:t>
            </w:r>
            <w:r>
              <w:rPr>
                <w:rFonts w:hint="eastAsia" w:ascii="仿宋" w:hAnsi="仿宋" w:eastAsia="仿宋" w:cs="仿宋"/>
                <w:sz w:val="24"/>
                <w:szCs w:val="24"/>
                <w:lang w:eastAsia="zh-CN"/>
              </w:rPr>
              <w:t>本投标</w:t>
            </w:r>
            <w:r>
              <w:rPr>
                <w:rFonts w:hint="eastAsia" w:ascii="仿宋" w:hAnsi="仿宋" w:eastAsia="仿宋" w:cs="仿宋"/>
                <w:sz w:val="24"/>
                <w:szCs w:val="24"/>
              </w:rPr>
              <w:t>供应商签订的劳动合同</w:t>
            </w:r>
            <w:r>
              <w:rPr>
                <w:rFonts w:hint="eastAsia" w:ascii="仿宋" w:hAnsi="仿宋" w:eastAsia="仿宋" w:cs="仿宋"/>
                <w:sz w:val="24"/>
                <w:szCs w:val="24"/>
                <w:lang w:eastAsia="zh-CN"/>
              </w:rPr>
              <w:t>材料</w:t>
            </w:r>
            <w:r>
              <w:rPr>
                <w:rFonts w:hint="eastAsia" w:ascii="仿宋" w:hAnsi="仿宋" w:eastAsia="仿宋" w:cs="仿宋"/>
                <w:sz w:val="24"/>
                <w:szCs w:val="24"/>
              </w:rPr>
              <w:t>。</w:t>
            </w:r>
            <w:r>
              <w:rPr>
                <w:rFonts w:hint="eastAsia" w:ascii="仿宋" w:hAnsi="仿宋" w:eastAsia="仿宋" w:cs="仿宋"/>
                <w:sz w:val="24"/>
                <w:szCs w:val="24"/>
                <w:lang w:val="en-US" w:eastAsia="zh-CN"/>
              </w:rPr>
              <w:t>需提供项目经理近6个月的社保证明材料。</w:t>
            </w:r>
            <w:r>
              <w:rPr>
                <w:rFonts w:hint="eastAsia" w:ascii="仿宋" w:hAnsi="仿宋" w:eastAsia="仿宋" w:cs="仿宋"/>
                <w:sz w:val="24"/>
                <w:szCs w:val="24"/>
              </w:rPr>
              <w:t>未满足</w:t>
            </w:r>
            <w:r>
              <w:rPr>
                <w:rFonts w:hint="eastAsia" w:ascii="仿宋" w:hAnsi="仿宋" w:eastAsia="仿宋" w:cs="仿宋"/>
                <w:sz w:val="24"/>
                <w:szCs w:val="24"/>
                <w:lang w:eastAsia="zh-CN"/>
              </w:rPr>
              <w:t>要求</w:t>
            </w:r>
            <w:r>
              <w:rPr>
                <w:rFonts w:hint="eastAsia" w:ascii="仿宋" w:hAnsi="仿宋" w:eastAsia="仿宋" w:cs="仿宋"/>
                <w:sz w:val="24"/>
                <w:szCs w:val="24"/>
              </w:rPr>
              <w:t>或缺漏项均不得分。</w:t>
            </w:r>
            <w:r>
              <w:rPr>
                <w:rFonts w:hint="eastAsia" w:ascii="仿宋" w:hAnsi="仿宋" w:eastAsia="仿宋" w:cs="仿宋"/>
                <w:sz w:val="24"/>
                <w:szCs w:val="24"/>
                <w:lang w:eastAsia="zh-CN"/>
              </w:rPr>
              <w:t>）</w:t>
            </w:r>
          </w:p>
          <w:p w14:paraId="6BA32AC3">
            <w:pPr>
              <w:bidi w:val="0"/>
              <w:spacing w:line="3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2.拟任项目经理</w:t>
            </w:r>
            <w:r>
              <w:rPr>
                <w:rFonts w:hint="eastAsia" w:ascii="仿宋" w:hAnsi="仿宋" w:eastAsia="仿宋" w:cs="仿宋"/>
                <w:sz w:val="24"/>
                <w:szCs w:val="24"/>
              </w:rPr>
              <w:t>具有</w:t>
            </w:r>
            <w:r>
              <w:rPr>
                <w:rFonts w:hint="eastAsia" w:ascii="仿宋" w:hAnsi="仿宋" w:eastAsia="仿宋" w:cs="仿宋"/>
                <w:sz w:val="24"/>
                <w:szCs w:val="24"/>
                <w:lang w:val="en-US" w:eastAsia="zh-CN"/>
              </w:rPr>
              <w:t>3年及以上</w:t>
            </w:r>
            <w:r>
              <w:rPr>
                <w:rFonts w:hint="eastAsia" w:ascii="仿宋" w:hAnsi="仿宋" w:eastAsia="仿宋" w:cs="仿宋"/>
                <w:sz w:val="24"/>
                <w:szCs w:val="24"/>
              </w:rPr>
              <w:t>同类项目</w:t>
            </w:r>
            <w:r>
              <w:rPr>
                <w:rFonts w:hint="eastAsia" w:ascii="仿宋" w:hAnsi="仿宋" w:eastAsia="仿宋" w:cs="仿宋"/>
                <w:color w:val="000000"/>
                <w:sz w:val="24"/>
                <w:szCs w:val="24"/>
              </w:rPr>
              <w:t>物业服务管理工作经验</w:t>
            </w:r>
            <w:r>
              <w:rPr>
                <w:rFonts w:hint="eastAsia" w:ascii="仿宋" w:hAnsi="仿宋" w:eastAsia="仿宋" w:cs="仿宋"/>
                <w:color w:val="000000"/>
                <w:sz w:val="24"/>
                <w:szCs w:val="24"/>
                <w:lang w:eastAsia="zh-CN"/>
              </w:rPr>
              <w:t>得</w:t>
            </w:r>
            <w:r>
              <w:rPr>
                <w:rFonts w:hint="eastAsia" w:ascii="仿宋" w:hAnsi="仿宋" w:eastAsia="仿宋" w:cs="仿宋"/>
                <w:color w:val="000000"/>
                <w:sz w:val="24"/>
                <w:szCs w:val="24"/>
                <w:lang w:val="en-US" w:eastAsia="zh-CN"/>
              </w:rPr>
              <w:t>2分。需提供项目经理同类项目工作经验证明材料，格式不限。证明材料可累计，未满足要求不得分。</w:t>
            </w:r>
          </w:p>
        </w:tc>
        <w:tc>
          <w:tcPr>
            <w:tcW w:w="1236" w:type="dxa"/>
          </w:tcPr>
          <w:p w14:paraId="0CC1E5A6">
            <w:pPr>
              <w:keepNext w:val="0"/>
              <w:keepLines w:val="0"/>
              <w:pageBreakBefore w:val="0"/>
              <w:kinsoku/>
              <w:wordWrap/>
              <w:overflowPunct/>
              <w:topLinePunct w:val="0"/>
              <w:bidi w:val="0"/>
              <w:spacing w:line="320" w:lineRule="exact"/>
              <w:jc w:val="left"/>
              <w:textAlignment w:val="auto"/>
              <w:rPr>
                <w:rFonts w:hint="eastAsia" w:ascii="仿宋" w:hAnsi="仿宋" w:eastAsia="仿宋" w:cs="仿宋"/>
                <w:bCs/>
                <w:color w:val="auto"/>
                <w:sz w:val="24"/>
                <w:szCs w:val="24"/>
              </w:rPr>
            </w:pPr>
          </w:p>
        </w:tc>
      </w:tr>
      <w:tr w14:paraId="694B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33" w:type="dxa"/>
            <w:vMerge w:val="continue"/>
            <w:vAlign w:val="center"/>
          </w:tcPr>
          <w:p w14:paraId="3796EF09">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lang w:eastAsia="zh-CN"/>
              </w:rPr>
            </w:pPr>
          </w:p>
        </w:tc>
        <w:tc>
          <w:tcPr>
            <w:tcW w:w="789" w:type="dxa"/>
            <w:vMerge w:val="continue"/>
            <w:vAlign w:val="center"/>
          </w:tcPr>
          <w:p w14:paraId="79B22FD5">
            <w:pPr>
              <w:keepNext w:val="0"/>
              <w:keepLines w:val="0"/>
              <w:pageBreakBefore w:val="0"/>
              <w:kinsoku/>
              <w:wordWrap/>
              <w:overflowPunct/>
              <w:topLinePunct w:val="0"/>
              <w:bidi w:val="0"/>
              <w:spacing w:line="320" w:lineRule="exact"/>
              <w:textAlignment w:val="auto"/>
              <w:rPr>
                <w:rFonts w:hint="eastAsia" w:ascii="仿宋" w:hAnsi="仿宋" w:eastAsia="仿宋" w:cs="仿宋"/>
                <w:color w:val="auto"/>
                <w:sz w:val="24"/>
                <w:szCs w:val="24"/>
                <w:lang w:val="en-US" w:eastAsia="zh-CN"/>
              </w:rPr>
            </w:pPr>
          </w:p>
        </w:tc>
        <w:tc>
          <w:tcPr>
            <w:tcW w:w="765" w:type="dxa"/>
            <w:vAlign w:val="center"/>
          </w:tcPr>
          <w:p w14:paraId="61540938">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人员配置情况</w:t>
            </w:r>
          </w:p>
        </w:tc>
        <w:tc>
          <w:tcPr>
            <w:tcW w:w="780" w:type="dxa"/>
            <w:vAlign w:val="center"/>
          </w:tcPr>
          <w:p w14:paraId="66032A27">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4995" w:type="dxa"/>
            <w:vAlign w:val="center"/>
          </w:tcPr>
          <w:p w14:paraId="173DED0B">
            <w:pPr>
              <w:keepNext w:val="0"/>
              <w:keepLines w:val="0"/>
              <w:pageBreakBefore w:val="0"/>
              <w:widowControl/>
              <w:numPr>
                <w:ilvl w:val="0"/>
                <w:numId w:val="6"/>
              </w:numPr>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针对本项目所需服务提供完整科学的人员配置方案。根据人员配置方案的合理性科学性赋分。</w:t>
            </w:r>
          </w:p>
          <w:p w14:paraId="19ED5594">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人员配置科学、合理得4-8分；</w:t>
            </w:r>
          </w:p>
          <w:p w14:paraId="3CFCF295">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人员配置不合理、不科学得0-4分。</w:t>
            </w:r>
          </w:p>
          <w:p w14:paraId="28B0162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提供本项目所需人员上岗健康证，证件人员信息须与人员配置方案人员信息相匹配，每提供一张有效资格证得0.5分，满分8分。</w:t>
            </w:r>
          </w:p>
          <w:p w14:paraId="62D79489">
            <w:pPr>
              <w:keepNext w:val="0"/>
              <w:keepLines w:val="0"/>
              <w:pageBreakBefore w:val="0"/>
              <w:widowControl/>
              <w:kinsoku/>
              <w:wordWrap/>
              <w:overflowPunct/>
              <w:topLinePunct w:val="0"/>
              <w:autoSpaceDE/>
              <w:autoSpaceDN/>
              <w:bidi w:val="0"/>
              <w:spacing w:line="320" w:lineRule="exact"/>
              <w:textAlignment w:val="auto"/>
              <w:rPr>
                <w:rFonts w:hint="default"/>
                <w:lang w:val="en-US" w:eastAsia="zh-CN"/>
              </w:rPr>
            </w:pPr>
            <w:r>
              <w:rPr>
                <w:rFonts w:hint="eastAsia" w:ascii="仿宋" w:hAnsi="仿宋" w:eastAsia="仿宋" w:cs="仿宋"/>
                <w:sz w:val="24"/>
                <w:szCs w:val="24"/>
                <w:highlight w:val="none"/>
                <w:lang w:val="en-US" w:eastAsia="zh-CN"/>
              </w:rPr>
              <w:t>3.满足磋商文件人数要求（16人）前提下，每额外增加1名工作人员得1分，满分3分。</w:t>
            </w:r>
          </w:p>
        </w:tc>
        <w:tc>
          <w:tcPr>
            <w:tcW w:w="1236" w:type="dxa"/>
          </w:tcPr>
          <w:p w14:paraId="1132D11F">
            <w:pPr>
              <w:keepNext w:val="0"/>
              <w:keepLines w:val="0"/>
              <w:pageBreakBefore w:val="0"/>
              <w:kinsoku/>
              <w:wordWrap/>
              <w:overflowPunct/>
              <w:topLinePunct w:val="0"/>
              <w:bidi w:val="0"/>
              <w:spacing w:line="320" w:lineRule="exact"/>
              <w:jc w:val="left"/>
              <w:textAlignment w:val="auto"/>
              <w:rPr>
                <w:rFonts w:hint="eastAsia" w:ascii="仿宋" w:hAnsi="仿宋" w:eastAsia="仿宋" w:cs="仿宋"/>
                <w:bCs/>
                <w:color w:val="auto"/>
                <w:sz w:val="24"/>
                <w:szCs w:val="24"/>
              </w:rPr>
            </w:pPr>
          </w:p>
        </w:tc>
      </w:tr>
      <w:tr w14:paraId="520E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33" w:type="dxa"/>
            <w:vMerge w:val="restart"/>
            <w:vAlign w:val="center"/>
          </w:tcPr>
          <w:p w14:paraId="56EB5561">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业绩与实力</w:t>
            </w:r>
          </w:p>
        </w:tc>
        <w:tc>
          <w:tcPr>
            <w:tcW w:w="789" w:type="dxa"/>
            <w:vMerge w:val="restart"/>
            <w:vAlign w:val="center"/>
          </w:tcPr>
          <w:p w14:paraId="7F830541">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765" w:type="dxa"/>
            <w:vAlign w:val="center"/>
          </w:tcPr>
          <w:p w14:paraId="5ABD8CA7">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业绩</w:t>
            </w:r>
          </w:p>
        </w:tc>
        <w:tc>
          <w:tcPr>
            <w:tcW w:w="780" w:type="dxa"/>
            <w:vAlign w:val="center"/>
          </w:tcPr>
          <w:p w14:paraId="260FE88F">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4995" w:type="dxa"/>
            <w:vAlign w:val="center"/>
          </w:tcPr>
          <w:p w14:paraId="4CF48FF7">
            <w:pPr>
              <w:keepNext w:val="0"/>
              <w:keepLines w:val="0"/>
              <w:pageBreakBefore w:val="0"/>
              <w:kinsoku/>
              <w:wordWrap/>
              <w:overflowPunct/>
              <w:topLinePunct w:val="0"/>
              <w:bidi w:val="0"/>
              <w:adjustRightInd w:val="0"/>
              <w:snapToGrid w:val="0"/>
              <w:spacing w:line="320" w:lineRule="exact"/>
              <w:textAlignment w:val="auto"/>
              <w:rPr>
                <w:rFonts w:hint="eastAsia" w:ascii="仿宋" w:hAnsi="仿宋" w:eastAsia="仿宋" w:cs="仿宋"/>
                <w:lang w:eastAsia="zh-CN"/>
              </w:rPr>
            </w:pPr>
            <w:r>
              <w:rPr>
                <w:rFonts w:hint="eastAsia" w:ascii="仿宋" w:hAnsi="仿宋" w:eastAsia="仿宋" w:cs="仿宋"/>
                <w:color w:val="auto"/>
                <w:sz w:val="24"/>
                <w:szCs w:val="24"/>
              </w:rPr>
              <w:t>提供201</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月1日以来同类项目业绩。以合同签订日期为准，并加盖供应商公章的合同关键页复印件为计分依据，每份合格业绩合同计</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分，满分</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1236" w:type="dxa"/>
            <w:vAlign w:val="center"/>
          </w:tcPr>
          <w:p w14:paraId="7DEF03F7">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p>
        </w:tc>
      </w:tr>
      <w:tr w14:paraId="4053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33" w:type="dxa"/>
            <w:vMerge w:val="continue"/>
            <w:vAlign w:val="center"/>
          </w:tcPr>
          <w:p w14:paraId="3CECF966">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p>
        </w:tc>
        <w:tc>
          <w:tcPr>
            <w:tcW w:w="789" w:type="dxa"/>
            <w:vMerge w:val="continue"/>
            <w:vAlign w:val="center"/>
          </w:tcPr>
          <w:p w14:paraId="58AEF31C">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val="en-US" w:eastAsia="zh-CN"/>
              </w:rPr>
            </w:pPr>
          </w:p>
        </w:tc>
        <w:tc>
          <w:tcPr>
            <w:tcW w:w="765" w:type="dxa"/>
            <w:vAlign w:val="center"/>
          </w:tcPr>
          <w:p w14:paraId="39076717">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质量认证</w:t>
            </w:r>
          </w:p>
        </w:tc>
        <w:tc>
          <w:tcPr>
            <w:tcW w:w="780" w:type="dxa"/>
            <w:vAlign w:val="center"/>
          </w:tcPr>
          <w:p w14:paraId="1BA2AB2C">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4995" w:type="dxa"/>
            <w:vAlign w:val="center"/>
          </w:tcPr>
          <w:p w14:paraId="5F496973">
            <w:pPr>
              <w:autoSpaceDE w:val="0"/>
              <w:autoSpaceDN w:val="0"/>
              <w:adjustRightInd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投标供应商通过以下体系认证且证书在有效期内的可得分，具备一项得1分，满分3分。</w:t>
            </w:r>
          </w:p>
          <w:p w14:paraId="2C5D6B6D">
            <w:pPr>
              <w:autoSpaceDE w:val="0"/>
              <w:autoSpaceDN w:val="0"/>
              <w:adjustRightInd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1.质量管理体系认证</w:t>
            </w:r>
          </w:p>
          <w:p w14:paraId="4BC7BDD3">
            <w:pPr>
              <w:autoSpaceDE w:val="0"/>
              <w:autoSpaceDN w:val="0"/>
              <w:adjustRightInd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2.环境管理体系认证</w:t>
            </w:r>
          </w:p>
          <w:p w14:paraId="622C1502">
            <w:pPr>
              <w:autoSpaceDE w:val="0"/>
              <w:autoSpaceDN w:val="0"/>
              <w:adjustRightInd w:val="0"/>
              <w:spacing w:line="3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3.职业健康安全管理体系认证</w:t>
            </w:r>
          </w:p>
          <w:p w14:paraId="04E46CFC">
            <w:pPr>
              <w:keepNext w:val="0"/>
              <w:keepLines w:val="0"/>
              <w:pageBreakBefore w:val="0"/>
              <w:kinsoku/>
              <w:wordWrap/>
              <w:overflowPunct/>
              <w:topLinePunct w:val="0"/>
              <w:bidi w:val="0"/>
              <w:adjustRightInd w:val="0"/>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sz w:val="24"/>
                <w:szCs w:val="24"/>
                <w:lang w:val="en-US" w:eastAsia="zh-CN"/>
              </w:rPr>
              <w:t>注：以加盖供应商公章的证明材料复印件为计分依据。</w:t>
            </w:r>
          </w:p>
        </w:tc>
        <w:tc>
          <w:tcPr>
            <w:tcW w:w="1236" w:type="dxa"/>
            <w:vAlign w:val="center"/>
          </w:tcPr>
          <w:p w14:paraId="574D7EB7">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p>
        </w:tc>
      </w:tr>
      <w:tr w14:paraId="2984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33" w:type="dxa"/>
            <w:vMerge w:val="restart"/>
            <w:vAlign w:val="center"/>
          </w:tcPr>
          <w:p w14:paraId="461876EC">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服务承诺</w:t>
            </w:r>
          </w:p>
        </w:tc>
        <w:tc>
          <w:tcPr>
            <w:tcW w:w="789" w:type="dxa"/>
            <w:vMerge w:val="restart"/>
            <w:vAlign w:val="center"/>
          </w:tcPr>
          <w:p w14:paraId="3963CE7A">
            <w:pPr>
              <w:keepNext w:val="0"/>
              <w:keepLines w:val="0"/>
              <w:pageBreakBefore w:val="0"/>
              <w:kinsoku/>
              <w:wordWrap/>
              <w:overflowPunct/>
              <w:topLinePunct w:val="0"/>
              <w:bidi w:val="0"/>
              <w:spacing w:line="32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765" w:type="dxa"/>
            <w:vAlign w:val="center"/>
          </w:tcPr>
          <w:p w14:paraId="7DC02B21">
            <w:pPr>
              <w:autoSpaceDE w:val="0"/>
              <w:autoSpaceDN w:val="0"/>
              <w:adjustRightInd w:val="0"/>
              <w:spacing w:line="26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接受监督</w:t>
            </w:r>
          </w:p>
        </w:tc>
        <w:tc>
          <w:tcPr>
            <w:tcW w:w="780" w:type="dxa"/>
            <w:vAlign w:val="center"/>
          </w:tcPr>
          <w:p w14:paraId="561A728A">
            <w:pPr>
              <w:spacing w:line="300" w:lineRule="exact"/>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4995" w:type="dxa"/>
            <w:vAlign w:val="center"/>
          </w:tcPr>
          <w:p w14:paraId="58575DAC">
            <w:pPr>
              <w:autoSpaceDE w:val="0"/>
              <w:autoSpaceDN w:val="0"/>
              <w:adjustRightInd w:val="0"/>
              <w:spacing w:line="360" w:lineRule="exact"/>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承诺接受采购人对服务的考核、监督及管理，定期调研采购人对服务质量的满意度并加以改进，确保服务工作的优质高效，得</w:t>
            </w:r>
            <w:r>
              <w:rPr>
                <w:rFonts w:hint="eastAsia" w:ascii="仿宋" w:hAnsi="仿宋" w:eastAsia="仿宋" w:cs="仿宋"/>
                <w:sz w:val="24"/>
                <w:szCs w:val="24"/>
                <w:lang w:val="en-US" w:eastAsia="zh-CN"/>
              </w:rPr>
              <w:t>2分。不承诺不得分。</w:t>
            </w:r>
          </w:p>
        </w:tc>
        <w:tc>
          <w:tcPr>
            <w:tcW w:w="1236" w:type="dxa"/>
            <w:vAlign w:val="center"/>
          </w:tcPr>
          <w:p w14:paraId="789AC021">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p>
        </w:tc>
      </w:tr>
      <w:tr w14:paraId="082A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33" w:type="dxa"/>
            <w:vMerge w:val="continue"/>
            <w:vAlign w:val="center"/>
          </w:tcPr>
          <w:p w14:paraId="7D0F9241">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p>
        </w:tc>
        <w:tc>
          <w:tcPr>
            <w:tcW w:w="789" w:type="dxa"/>
            <w:vMerge w:val="continue"/>
            <w:vAlign w:val="center"/>
          </w:tcPr>
          <w:p w14:paraId="3021A7DD">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val="en-US" w:eastAsia="zh-CN"/>
              </w:rPr>
            </w:pPr>
          </w:p>
        </w:tc>
        <w:tc>
          <w:tcPr>
            <w:tcW w:w="765" w:type="dxa"/>
            <w:vAlign w:val="center"/>
          </w:tcPr>
          <w:p w14:paraId="4D47AB27">
            <w:pPr>
              <w:autoSpaceDE w:val="0"/>
              <w:autoSpaceDN w:val="0"/>
              <w:adjustRightInd w:val="0"/>
              <w:spacing w:line="2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人员承诺</w:t>
            </w:r>
          </w:p>
        </w:tc>
        <w:tc>
          <w:tcPr>
            <w:tcW w:w="780" w:type="dxa"/>
            <w:vAlign w:val="center"/>
          </w:tcPr>
          <w:p w14:paraId="45BCC65C">
            <w:pPr>
              <w:spacing w:line="3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995" w:type="dxa"/>
            <w:vAlign w:val="center"/>
          </w:tcPr>
          <w:p w14:paraId="1407667E">
            <w:pPr>
              <w:autoSpaceDE w:val="0"/>
              <w:autoSpaceDN w:val="0"/>
              <w:adjustRightInd w:val="0"/>
              <w:spacing w:line="3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承诺上岗人员按采购文件落实固定，且不得随意更换</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若出现服务人员因事、病等不能工作的，及时</w:t>
            </w:r>
            <w:r>
              <w:rPr>
                <w:rFonts w:hint="eastAsia" w:ascii="仿宋" w:hAnsi="仿宋" w:eastAsia="仿宋" w:cs="仿宋"/>
                <w:sz w:val="24"/>
                <w:szCs w:val="24"/>
                <w:lang w:val="en-US" w:eastAsia="zh-CN"/>
              </w:rPr>
              <w:t>调整</w:t>
            </w:r>
            <w:r>
              <w:rPr>
                <w:rFonts w:hint="eastAsia" w:ascii="仿宋" w:hAnsi="仿宋" w:eastAsia="仿宋" w:cs="仿宋"/>
                <w:sz w:val="24"/>
                <w:szCs w:val="24"/>
                <w:lang w:eastAsia="zh-CN"/>
              </w:rPr>
              <w:t>其他服务人员补充，确保服务工作的正常进行，得</w:t>
            </w:r>
            <w:r>
              <w:rPr>
                <w:rFonts w:hint="eastAsia" w:ascii="仿宋" w:hAnsi="仿宋" w:eastAsia="仿宋" w:cs="仿宋"/>
                <w:sz w:val="24"/>
                <w:szCs w:val="24"/>
                <w:lang w:val="en-US" w:eastAsia="zh-CN"/>
              </w:rPr>
              <w:t>2分</w:t>
            </w:r>
            <w:r>
              <w:rPr>
                <w:rFonts w:hint="eastAsia" w:ascii="仿宋" w:hAnsi="仿宋" w:eastAsia="仿宋" w:cs="仿宋"/>
                <w:sz w:val="24"/>
                <w:szCs w:val="24"/>
                <w:lang w:eastAsia="zh-CN"/>
              </w:rPr>
              <w:t>。不承诺不得分。</w:t>
            </w:r>
          </w:p>
        </w:tc>
        <w:tc>
          <w:tcPr>
            <w:tcW w:w="1236" w:type="dxa"/>
            <w:vAlign w:val="center"/>
          </w:tcPr>
          <w:p w14:paraId="1CA68F68">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p>
        </w:tc>
      </w:tr>
      <w:tr w14:paraId="7030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33" w:type="dxa"/>
            <w:vMerge w:val="continue"/>
            <w:vAlign w:val="center"/>
          </w:tcPr>
          <w:p w14:paraId="02845CCB">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eastAsia="zh-CN"/>
              </w:rPr>
            </w:pPr>
          </w:p>
        </w:tc>
        <w:tc>
          <w:tcPr>
            <w:tcW w:w="789" w:type="dxa"/>
            <w:vMerge w:val="continue"/>
            <w:vAlign w:val="center"/>
          </w:tcPr>
          <w:p w14:paraId="29A0C108">
            <w:pPr>
              <w:keepNext w:val="0"/>
              <w:keepLines w:val="0"/>
              <w:pageBreakBefore w:val="0"/>
              <w:kinsoku/>
              <w:wordWrap/>
              <w:overflowPunct/>
              <w:topLinePunct w:val="0"/>
              <w:bidi w:val="0"/>
              <w:spacing w:line="320" w:lineRule="exact"/>
              <w:jc w:val="center"/>
              <w:textAlignment w:val="auto"/>
              <w:rPr>
                <w:rFonts w:hint="eastAsia" w:ascii="仿宋" w:hAnsi="仿宋" w:eastAsia="仿宋" w:cs="仿宋"/>
                <w:color w:val="auto"/>
                <w:sz w:val="24"/>
                <w:szCs w:val="24"/>
                <w:lang w:val="en-US" w:eastAsia="zh-CN"/>
              </w:rPr>
            </w:pPr>
          </w:p>
        </w:tc>
        <w:tc>
          <w:tcPr>
            <w:tcW w:w="765" w:type="dxa"/>
            <w:vAlign w:val="center"/>
          </w:tcPr>
          <w:p w14:paraId="1B572522">
            <w:pPr>
              <w:autoSpaceDE w:val="0"/>
              <w:autoSpaceDN w:val="0"/>
              <w:adjustRightInd w:val="0"/>
              <w:spacing w:line="2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其他承诺</w:t>
            </w:r>
          </w:p>
        </w:tc>
        <w:tc>
          <w:tcPr>
            <w:tcW w:w="780" w:type="dxa"/>
            <w:vAlign w:val="center"/>
          </w:tcPr>
          <w:p w14:paraId="357A08F3">
            <w:pPr>
              <w:spacing w:line="3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995" w:type="dxa"/>
            <w:vAlign w:val="center"/>
          </w:tcPr>
          <w:p w14:paraId="5DF84848">
            <w:pPr>
              <w:autoSpaceDE w:val="0"/>
              <w:autoSpaceDN w:val="0"/>
              <w:adjustRightInd w:val="0"/>
              <w:spacing w:line="360" w:lineRule="exact"/>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针对本项目提供其他利于本项目开展的承诺，每提供一条得1分，满分</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分。不承诺不得分。</w:t>
            </w:r>
          </w:p>
        </w:tc>
        <w:tc>
          <w:tcPr>
            <w:tcW w:w="1236" w:type="dxa"/>
            <w:vAlign w:val="center"/>
          </w:tcPr>
          <w:p w14:paraId="59178457">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p>
        </w:tc>
      </w:tr>
      <w:tr w14:paraId="0784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733" w:type="dxa"/>
            <w:vAlign w:val="center"/>
          </w:tcPr>
          <w:p w14:paraId="171CA7BD">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w:t>
            </w:r>
          </w:p>
        </w:tc>
        <w:tc>
          <w:tcPr>
            <w:tcW w:w="8565" w:type="dxa"/>
            <w:gridSpan w:val="5"/>
            <w:vAlign w:val="center"/>
          </w:tcPr>
          <w:p w14:paraId="4F65713C">
            <w:pPr>
              <w:keepNext w:val="0"/>
              <w:keepLines w:val="0"/>
              <w:pageBreakBefore w:val="0"/>
              <w:kinsoku/>
              <w:wordWrap/>
              <w:overflowPunct/>
              <w:topLinePunct w:val="0"/>
              <w:bidi w:val="0"/>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成员必须按照本评审要素据实打分，各类数字计算均按“四舍五入”保留小数点后两位；</w:t>
            </w:r>
          </w:p>
        </w:tc>
      </w:tr>
    </w:tbl>
    <w:p w14:paraId="59911D33">
      <w:pPr>
        <w:spacing w:line="500" w:lineRule="exact"/>
        <w:ind w:firstLine="566" w:firstLineChars="200"/>
        <w:rPr>
          <w:rFonts w:ascii="华文仿宋" w:hAnsi="华文仿宋" w:cs="华文仿宋"/>
          <w:b/>
          <w:color w:val="auto"/>
        </w:rPr>
      </w:pPr>
      <w:r>
        <w:rPr>
          <w:rFonts w:hint="eastAsia" w:ascii="华文仿宋" w:hAnsi="华文仿宋" w:cs="华文仿宋"/>
          <w:b/>
          <w:color w:val="auto"/>
        </w:rPr>
        <w:t>8、推荐成交候选供应商</w:t>
      </w:r>
    </w:p>
    <w:p w14:paraId="500F6ECC">
      <w:pPr>
        <w:spacing w:line="500" w:lineRule="exact"/>
        <w:ind w:firstLine="566" w:firstLineChars="200"/>
        <w:rPr>
          <w:rFonts w:ascii="华文仿宋" w:hAnsi="华文仿宋" w:cs="华文仿宋"/>
          <w:color w:val="auto"/>
        </w:rPr>
      </w:pPr>
      <w:r>
        <w:rPr>
          <w:rFonts w:hint="eastAsia" w:ascii="华文仿宋" w:hAnsi="华文仿宋" w:cs="华文仿宋"/>
          <w:color w:val="auto"/>
        </w:rPr>
        <w:t>磋商小组应当根据综合评分情况，按照评审得分由高到低顺序推荐</w:t>
      </w:r>
      <w:r>
        <w:rPr>
          <w:rFonts w:hint="eastAsia" w:ascii="仿宋" w:hAnsi="仿宋" w:eastAsia="仿宋" w:cs="仿宋"/>
          <w:color w:val="auto"/>
        </w:rPr>
        <w:t>3</w:t>
      </w:r>
      <w:r>
        <w:rPr>
          <w:rFonts w:hint="eastAsia" w:ascii="华文仿宋" w:hAnsi="华文仿宋" w:cs="华文仿宋"/>
          <w:color w:val="auto"/>
        </w:rPr>
        <w:t>名以上成交候选供应商（有效供应商不足三家时以实际数量推荐）。评审得分相同的，按照最后报价由低到高的顺序推荐。评审得分且最后报价相同的，按照技术指标优劣顺序推荐。</w:t>
      </w:r>
    </w:p>
    <w:p w14:paraId="6434D615">
      <w:pPr>
        <w:spacing w:line="500" w:lineRule="exact"/>
        <w:ind w:firstLine="566" w:firstLineChars="200"/>
        <w:rPr>
          <w:rFonts w:ascii="华文仿宋" w:hAnsi="华文仿宋" w:cs="华文仿宋"/>
          <w:b/>
          <w:color w:val="auto"/>
        </w:rPr>
      </w:pPr>
      <w:r>
        <w:rPr>
          <w:rFonts w:hint="eastAsia" w:ascii="华文仿宋" w:hAnsi="华文仿宋" w:cs="华文仿宋"/>
          <w:b/>
          <w:color w:val="auto"/>
        </w:rPr>
        <w:t>9、编写评审报告</w:t>
      </w:r>
    </w:p>
    <w:p w14:paraId="67504DF3">
      <w:pPr>
        <w:pStyle w:val="9"/>
        <w:spacing w:line="500" w:lineRule="exact"/>
        <w:rPr>
          <w:rFonts w:hint="eastAsia" w:ascii="华文仿宋" w:hAnsi="华文仿宋" w:cs="华文仿宋"/>
          <w:color w:val="auto"/>
          <w:highlight w:val="none"/>
        </w:rPr>
      </w:pPr>
      <w:r>
        <w:rPr>
          <w:rFonts w:hint="eastAsia" w:ascii="华文仿宋" w:hAnsi="华文仿宋" w:cs="华文仿宋"/>
          <w:color w:val="auto"/>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14:paraId="63293918">
      <w:pPr>
        <w:pStyle w:val="9"/>
        <w:spacing w:line="500" w:lineRule="exact"/>
      </w:pPr>
      <w:r>
        <w:rPr>
          <w:rFonts w:hint="eastAsia"/>
        </w:rPr>
        <w:t>采购人书面授权</w:t>
      </w:r>
      <w:r>
        <w:rPr>
          <w:rFonts w:hint="eastAsia"/>
          <w:lang w:val="en-US" w:eastAsia="zh-CN"/>
        </w:rPr>
        <w:t>磋商小组</w:t>
      </w:r>
      <w:r>
        <w:rPr>
          <w:rFonts w:hint="eastAsia"/>
        </w:rPr>
        <w:t>直接确定</w:t>
      </w:r>
      <w:r>
        <w:rPr>
          <w:rFonts w:hint="eastAsia"/>
          <w:lang w:eastAsia="zh-CN"/>
        </w:rPr>
        <w:t>成交供应商</w:t>
      </w:r>
      <w:r>
        <w:rPr>
          <w:rFonts w:hint="eastAsia"/>
        </w:rPr>
        <w:t>的，</w:t>
      </w:r>
      <w:r>
        <w:rPr>
          <w:rFonts w:hint="eastAsia"/>
          <w:lang w:val="en-US" w:eastAsia="zh-CN"/>
        </w:rPr>
        <w:t>磋商小组</w:t>
      </w:r>
      <w:r>
        <w:rPr>
          <w:rFonts w:hint="eastAsia"/>
        </w:rPr>
        <w:t>应在评</w:t>
      </w:r>
      <w:r>
        <w:rPr>
          <w:rFonts w:hint="eastAsia"/>
          <w:lang w:val="en-US" w:eastAsia="zh-CN"/>
        </w:rPr>
        <w:t>审</w:t>
      </w:r>
      <w:r>
        <w:rPr>
          <w:rFonts w:hint="eastAsia"/>
        </w:rPr>
        <w:t>报告中明确</w:t>
      </w:r>
      <w:r>
        <w:rPr>
          <w:rFonts w:hint="eastAsia"/>
          <w:lang w:val="en-US" w:eastAsia="zh-CN"/>
        </w:rPr>
        <w:t>成交</w:t>
      </w:r>
      <w:r>
        <w:rPr>
          <w:rFonts w:hint="eastAsia"/>
        </w:rPr>
        <w:t>供应商及</w:t>
      </w:r>
      <w:r>
        <w:rPr>
          <w:rFonts w:hint="eastAsia"/>
          <w:lang w:val="en-US" w:eastAsia="zh-CN"/>
        </w:rPr>
        <w:t>成交</w:t>
      </w:r>
      <w:r>
        <w:rPr>
          <w:rFonts w:hint="eastAsia"/>
        </w:rPr>
        <w:t>金额。</w:t>
      </w:r>
    </w:p>
    <w:p w14:paraId="297FF8F0">
      <w:pPr>
        <w:spacing w:line="500" w:lineRule="exact"/>
        <w:ind w:firstLine="566" w:firstLineChars="200"/>
        <w:rPr>
          <w:rFonts w:ascii="Calibri" w:hAnsi="Calibri"/>
          <w:color w:val="auto"/>
        </w:rPr>
      </w:pPr>
      <w:r>
        <w:rPr>
          <w:rFonts w:hint="eastAsia" w:ascii="Calibri" w:hAnsi="Calibri"/>
          <w:color w:val="auto"/>
        </w:rPr>
        <w:t>评审结果汇总完成后，除下列情形外，任何人不得修改评审结果：</w:t>
      </w:r>
    </w:p>
    <w:p w14:paraId="759769DE">
      <w:pPr>
        <w:spacing w:line="500" w:lineRule="exact"/>
        <w:ind w:firstLine="566" w:firstLineChars="200"/>
        <w:rPr>
          <w:rFonts w:ascii="Calibri" w:hAnsi="Calibri"/>
          <w:color w:val="auto"/>
        </w:rPr>
      </w:pPr>
      <w:r>
        <w:rPr>
          <w:rFonts w:hint="eastAsia" w:ascii="Calibri" w:hAnsi="Calibri"/>
          <w:color w:val="auto"/>
        </w:rPr>
        <w:t>（</w:t>
      </w:r>
      <w:r>
        <w:rPr>
          <w:rFonts w:hint="eastAsia" w:ascii="仿宋" w:hAnsi="仿宋" w:eastAsia="仿宋" w:cs="仿宋"/>
          <w:color w:val="auto"/>
        </w:rPr>
        <w:t>1</w:t>
      </w:r>
      <w:r>
        <w:rPr>
          <w:rFonts w:hint="eastAsia" w:ascii="Calibri" w:hAnsi="Calibri"/>
          <w:color w:val="auto"/>
        </w:rPr>
        <w:t>）分值汇总计算错误的；</w:t>
      </w:r>
    </w:p>
    <w:p w14:paraId="3658F5D0">
      <w:pPr>
        <w:spacing w:line="500" w:lineRule="exact"/>
        <w:ind w:firstLine="566" w:firstLineChars="200"/>
        <w:rPr>
          <w:rFonts w:ascii="Calibri" w:hAnsi="Calibri"/>
          <w:color w:val="auto"/>
        </w:rPr>
      </w:pPr>
      <w:r>
        <w:rPr>
          <w:rFonts w:hint="eastAsia" w:ascii="Calibri" w:hAnsi="Calibri"/>
          <w:color w:val="auto"/>
        </w:rPr>
        <w:t>（</w:t>
      </w:r>
      <w:r>
        <w:rPr>
          <w:rFonts w:hint="eastAsia" w:ascii="仿宋" w:hAnsi="仿宋" w:eastAsia="仿宋" w:cs="仿宋"/>
          <w:color w:val="auto"/>
        </w:rPr>
        <w:t>2</w:t>
      </w:r>
      <w:r>
        <w:rPr>
          <w:rFonts w:hint="eastAsia" w:ascii="Calibri" w:hAnsi="Calibri"/>
          <w:color w:val="auto"/>
        </w:rPr>
        <w:t>）分项评分超出评分标准范围的；</w:t>
      </w:r>
    </w:p>
    <w:p w14:paraId="767A90E1">
      <w:pPr>
        <w:spacing w:line="500" w:lineRule="exact"/>
        <w:ind w:firstLine="566" w:firstLineChars="200"/>
        <w:rPr>
          <w:rFonts w:ascii="Calibri" w:hAnsi="Calibri"/>
          <w:color w:val="auto"/>
        </w:rPr>
      </w:pPr>
      <w:r>
        <w:rPr>
          <w:rFonts w:hint="eastAsia" w:ascii="Calibri" w:hAnsi="Calibri"/>
          <w:color w:val="auto"/>
        </w:rPr>
        <w:t>（</w:t>
      </w:r>
      <w:r>
        <w:rPr>
          <w:rFonts w:hint="eastAsia" w:ascii="仿宋" w:hAnsi="仿宋" w:eastAsia="仿宋" w:cs="仿宋"/>
          <w:color w:val="auto"/>
        </w:rPr>
        <w:t>3</w:t>
      </w:r>
      <w:r>
        <w:rPr>
          <w:rFonts w:hint="eastAsia" w:ascii="Calibri" w:hAnsi="Calibri"/>
          <w:color w:val="auto"/>
        </w:rPr>
        <w:t>）磋商小组成员对客观评审因素评分不一致的；</w:t>
      </w:r>
    </w:p>
    <w:p w14:paraId="7C7610E6">
      <w:pPr>
        <w:spacing w:line="500" w:lineRule="exact"/>
        <w:ind w:firstLine="566" w:firstLineChars="200"/>
        <w:rPr>
          <w:rFonts w:ascii="Calibri" w:hAnsi="Calibri"/>
          <w:color w:val="auto"/>
        </w:rPr>
      </w:pPr>
      <w:r>
        <w:rPr>
          <w:rFonts w:hint="eastAsia" w:ascii="Calibri" w:hAnsi="Calibri"/>
          <w:color w:val="auto"/>
        </w:rPr>
        <w:t>（</w:t>
      </w:r>
      <w:r>
        <w:rPr>
          <w:rFonts w:hint="eastAsia" w:ascii="仿宋" w:hAnsi="仿宋" w:eastAsia="仿宋" w:cs="仿宋"/>
          <w:color w:val="auto"/>
        </w:rPr>
        <w:t>4</w:t>
      </w:r>
      <w:r>
        <w:rPr>
          <w:rFonts w:hint="eastAsia" w:ascii="Calibri" w:hAnsi="Calibri"/>
          <w:color w:val="auto"/>
        </w:rPr>
        <w:t>）经磋商</w:t>
      </w:r>
      <w:r>
        <w:rPr>
          <w:rFonts w:ascii="Calibri" w:hAnsi="Calibri"/>
          <w:color w:val="auto"/>
        </w:rPr>
        <w:t>小组</w:t>
      </w:r>
      <w:r>
        <w:rPr>
          <w:rFonts w:hint="eastAsia" w:ascii="Calibri" w:hAnsi="Calibri"/>
          <w:color w:val="auto"/>
        </w:rPr>
        <w:t>认定评分畸高、畸低的。</w:t>
      </w:r>
    </w:p>
    <w:p w14:paraId="56A1ADDA">
      <w:pPr>
        <w:spacing w:line="500" w:lineRule="exact"/>
        <w:ind w:firstLine="566" w:firstLineChars="200"/>
        <w:rPr>
          <w:color w:val="auto"/>
          <w:highlight w:val="none"/>
        </w:rPr>
      </w:pPr>
      <w:r>
        <w:rPr>
          <w:rFonts w:hint="eastAsia" w:ascii="Calibri" w:hAnsi="Calibri"/>
          <w:color w:val="auto"/>
          <w:highlight w:val="none"/>
        </w:rPr>
        <w:t>评审报告签署前，经复核发现存在以上情形之一的，磋商</w:t>
      </w:r>
      <w:r>
        <w:rPr>
          <w:rFonts w:ascii="Calibri" w:hAnsi="Calibri"/>
          <w:color w:val="auto"/>
          <w:highlight w:val="none"/>
        </w:rPr>
        <w:t>小组</w:t>
      </w:r>
      <w:r>
        <w:rPr>
          <w:rFonts w:hint="eastAsia" w:ascii="Calibri" w:hAnsi="Calibri"/>
          <w:color w:val="auto"/>
          <w:highlight w:val="none"/>
        </w:rPr>
        <w:t>应当当场修改评审结果，并在评审报告中记载；评审报告签署后，采购人或者采购代理机构发现存在以上情形之一的，应当组织原磋商小组进行重新评审，重新评审改变评审结果的，书面报告本级财政部门。</w:t>
      </w:r>
    </w:p>
    <w:p w14:paraId="386DBF9C">
      <w:pPr>
        <w:spacing w:line="500" w:lineRule="exact"/>
        <w:ind w:firstLine="566" w:firstLineChars="200"/>
        <w:rPr>
          <w:rFonts w:ascii="华文仿宋" w:hAnsi="华文仿宋" w:cs="华文仿宋"/>
          <w:b/>
          <w:color w:val="auto"/>
        </w:rPr>
      </w:pPr>
      <w:r>
        <w:rPr>
          <w:rFonts w:hint="eastAsia" w:ascii="华文仿宋" w:hAnsi="华文仿宋" w:cs="华文仿宋"/>
          <w:b/>
          <w:color w:val="auto"/>
        </w:rPr>
        <w:t>（六）有下列情况之一的，视为供应商串通投标，其投标无效：</w:t>
      </w:r>
    </w:p>
    <w:p w14:paraId="6B264323">
      <w:pPr>
        <w:spacing w:line="500" w:lineRule="exact"/>
        <w:ind w:firstLine="566" w:firstLineChars="200"/>
        <w:rPr>
          <w:rFonts w:ascii="Calibri" w:hAnsi="Calibri"/>
          <w:color w:val="auto"/>
        </w:rPr>
      </w:pPr>
      <w:r>
        <w:rPr>
          <w:rFonts w:hint="eastAsia" w:ascii="仿宋" w:hAnsi="仿宋" w:eastAsia="仿宋" w:cs="仿宋"/>
          <w:color w:val="auto"/>
        </w:rPr>
        <w:t>1</w:t>
      </w:r>
      <w:r>
        <w:rPr>
          <w:rFonts w:hint="eastAsia" w:ascii="Calibri" w:hAnsi="Calibri"/>
          <w:color w:val="auto"/>
        </w:rPr>
        <w:t>、不同供应商的响应文件由同一单位或者个人编制；</w:t>
      </w:r>
    </w:p>
    <w:p w14:paraId="792266D7">
      <w:pPr>
        <w:spacing w:line="500" w:lineRule="exact"/>
        <w:ind w:firstLine="566" w:firstLineChars="200"/>
        <w:rPr>
          <w:rFonts w:ascii="Calibri" w:hAnsi="Calibri"/>
          <w:color w:val="auto"/>
        </w:rPr>
      </w:pPr>
      <w:r>
        <w:rPr>
          <w:rFonts w:hint="eastAsia" w:ascii="仿宋" w:hAnsi="仿宋" w:eastAsia="仿宋" w:cs="仿宋"/>
          <w:color w:val="auto"/>
        </w:rPr>
        <w:t>2</w:t>
      </w:r>
      <w:r>
        <w:rPr>
          <w:rFonts w:hint="eastAsia" w:ascii="Calibri" w:hAnsi="Calibri"/>
          <w:color w:val="auto"/>
        </w:rPr>
        <w:t>、不同供应商的响应文件由同一台电脑编制；</w:t>
      </w:r>
    </w:p>
    <w:p w14:paraId="45A243FD">
      <w:pPr>
        <w:spacing w:line="500" w:lineRule="exact"/>
        <w:ind w:firstLine="566" w:firstLineChars="200"/>
        <w:rPr>
          <w:rFonts w:ascii="Calibri" w:hAnsi="Calibri"/>
          <w:color w:val="auto"/>
        </w:rPr>
      </w:pPr>
      <w:r>
        <w:rPr>
          <w:rFonts w:hint="eastAsia" w:ascii="仿宋" w:hAnsi="仿宋" w:eastAsia="仿宋" w:cs="仿宋"/>
          <w:color w:val="auto"/>
        </w:rPr>
        <w:t>3</w:t>
      </w:r>
      <w:r>
        <w:rPr>
          <w:rFonts w:hint="eastAsia" w:ascii="Calibri" w:hAnsi="Calibri"/>
          <w:color w:val="auto"/>
        </w:rPr>
        <w:t>、不同供应商委托同一单位或者个人办理投标事宜；</w:t>
      </w:r>
    </w:p>
    <w:p w14:paraId="0291DB9D">
      <w:pPr>
        <w:spacing w:line="500" w:lineRule="exact"/>
        <w:ind w:firstLine="566" w:firstLineChars="200"/>
        <w:rPr>
          <w:rFonts w:ascii="Calibri" w:hAnsi="Calibri"/>
          <w:color w:val="auto"/>
        </w:rPr>
      </w:pPr>
      <w:r>
        <w:rPr>
          <w:rFonts w:hint="eastAsia" w:ascii="仿宋" w:hAnsi="仿宋" w:eastAsia="仿宋" w:cs="仿宋"/>
          <w:color w:val="auto"/>
        </w:rPr>
        <w:t>4</w:t>
      </w:r>
      <w:r>
        <w:rPr>
          <w:rFonts w:hint="eastAsia" w:ascii="Calibri" w:hAnsi="Calibri"/>
          <w:color w:val="auto"/>
        </w:rPr>
        <w:t>、不同供应商的响应文件载明的项目管理成员或者联系人员为同一人；</w:t>
      </w:r>
    </w:p>
    <w:p w14:paraId="67F49C48">
      <w:pPr>
        <w:spacing w:line="500" w:lineRule="exact"/>
        <w:ind w:firstLine="566" w:firstLineChars="200"/>
        <w:rPr>
          <w:rFonts w:ascii="Calibri" w:hAnsi="Calibri"/>
          <w:color w:val="auto"/>
        </w:rPr>
      </w:pPr>
      <w:r>
        <w:rPr>
          <w:rFonts w:hint="eastAsia" w:ascii="仿宋" w:hAnsi="仿宋" w:eastAsia="仿宋" w:cs="仿宋"/>
          <w:color w:val="auto"/>
        </w:rPr>
        <w:t>5</w:t>
      </w:r>
      <w:r>
        <w:rPr>
          <w:rFonts w:hint="eastAsia" w:ascii="Calibri" w:hAnsi="Calibri"/>
          <w:color w:val="auto"/>
        </w:rPr>
        <w:t>、不同供应商的响应文件异常一致或者磋商报价呈规律性差异；</w:t>
      </w:r>
    </w:p>
    <w:p w14:paraId="23DBBE58">
      <w:pPr>
        <w:spacing w:line="500" w:lineRule="exact"/>
        <w:ind w:firstLine="566" w:firstLineChars="200"/>
        <w:rPr>
          <w:rFonts w:ascii="Calibri" w:hAnsi="Calibri"/>
          <w:color w:val="auto"/>
        </w:rPr>
      </w:pPr>
      <w:r>
        <w:rPr>
          <w:rFonts w:hint="eastAsia" w:ascii="仿宋" w:hAnsi="仿宋" w:eastAsia="仿宋" w:cs="仿宋"/>
          <w:color w:val="auto"/>
        </w:rPr>
        <w:t>6</w:t>
      </w:r>
      <w:r>
        <w:rPr>
          <w:rFonts w:hint="eastAsia" w:ascii="Calibri" w:hAnsi="Calibri"/>
          <w:color w:val="auto"/>
        </w:rPr>
        <w:t>、不同供应商的响应文件相互混装；</w:t>
      </w:r>
    </w:p>
    <w:p w14:paraId="07118493">
      <w:pPr>
        <w:spacing w:line="500" w:lineRule="exact"/>
        <w:ind w:firstLine="566" w:firstLineChars="200"/>
        <w:rPr>
          <w:rFonts w:hint="eastAsia" w:ascii="Calibri" w:hAnsi="Calibri" w:eastAsia="华文仿宋"/>
          <w:color w:val="auto"/>
          <w:lang w:eastAsia="zh-CN"/>
        </w:rPr>
      </w:pPr>
      <w:r>
        <w:rPr>
          <w:rFonts w:hint="eastAsia" w:ascii="仿宋" w:hAnsi="仿宋" w:eastAsia="仿宋" w:cs="仿宋"/>
          <w:color w:val="auto"/>
        </w:rPr>
        <w:t>7</w:t>
      </w:r>
      <w:r>
        <w:rPr>
          <w:rFonts w:hint="eastAsia" w:ascii="Calibri" w:hAnsi="Calibri"/>
          <w:color w:val="auto"/>
        </w:rPr>
        <w:t>、不同供应商的磋商保证金从同一单位或者个人的账户转出</w:t>
      </w:r>
      <w:r>
        <w:rPr>
          <w:rFonts w:hint="eastAsia" w:ascii="Calibri" w:hAnsi="Calibri"/>
          <w:color w:val="auto"/>
          <w:lang w:eastAsia="zh-CN"/>
        </w:rPr>
        <w:t>；</w:t>
      </w:r>
    </w:p>
    <w:p w14:paraId="6EAAEFB9">
      <w:pPr>
        <w:spacing w:line="500" w:lineRule="exact"/>
        <w:ind w:firstLine="566" w:firstLineChars="200"/>
        <w:rPr>
          <w:rFonts w:ascii="华文仿宋" w:hAnsi="华文仿宋" w:cs="华文仿宋"/>
          <w:color w:val="auto"/>
        </w:rPr>
      </w:pPr>
      <w:r>
        <w:rPr>
          <w:rFonts w:hint="eastAsia" w:ascii="仿宋" w:hAnsi="仿宋" w:eastAsia="仿宋" w:cs="仿宋"/>
          <w:color w:val="auto"/>
        </w:rPr>
        <w:t>8</w:t>
      </w:r>
      <w:r>
        <w:rPr>
          <w:rFonts w:hint="eastAsia" w:ascii="Calibri" w:hAnsi="Calibri"/>
          <w:color w:val="auto"/>
        </w:rPr>
        <w:t>、政府采购法律法规及磋商文件规定的其他情形。</w:t>
      </w:r>
    </w:p>
    <w:p w14:paraId="07D00019">
      <w:pPr>
        <w:pStyle w:val="5"/>
        <w:spacing w:line="500" w:lineRule="exact"/>
        <w:ind w:firstLine="566" w:firstLineChars="200"/>
        <w:rPr>
          <w:rFonts w:ascii="华文仿宋" w:hAnsi="华文仿宋" w:cs="华文仿宋"/>
          <w:color w:val="auto"/>
          <w:sz w:val="28"/>
          <w:szCs w:val="28"/>
        </w:rPr>
      </w:pPr>
      <w:bookmarkStart w:id="154" w:name="_Toc8062"/>
      <w:bookmarkStart w:id="155" w:name="_Toc28384"/>
      <w:bookmarkStart w:id="156" w:name="_Toc4700"/>
      <w:bookmarkStart w:id="157" w:name="_Toc4670"/>
      <w:bookmarkStart w:id="158" w:name="_Toc17612"/>
      <w:bookmarkStart w:id="159" w:name="_Toc13030"/>
      <w:bookmarkStart w:id="160" w:name="_Toc495014954"/>
      <w:bookmarkStart w:id="161" w:name="_Toc619_WPSOffice_Level1"/>
      <w:bookmarkStart w:id="162" w:name="_Toc445306493"/>
      <w:bookmarkStart w:id="163" w:name="_Toc495012821"/>
      <w:bookmarkStart w:id="164" w:name="_Toc495012771"/>
      <w:bookmarkStart w:id="165" w:name="_Toc495014649"/>
      <w:bookmarkStart w:id="166" w:name="_Toc495014585"/>
      <w:bookmarkStart w:id="167" w:name="_Toc495014611"/>
      <w:bookmarkStart w:id="168" w:name="_Toc424636365"/>
      <w:bookmarkStart w:id="169" w:name="_Toc495014920"/>
      <w:bookmarkStart w:id="170" w:name="_Toc28286_WPSOffice_Level1"/>
      <w:r>
        <w:rPr>
          <w:rFonts w:hint="eastAsia" w:ascii="华文仿宋" w:hAnsi="华文仿宋" w:cs="华文仿宋"/>
          <w:color w:val="auto"/>
          <w:sz w:val="28"/>
          <w:szCs w:val="28"/>
        </w:rPr>
        <w:t>九、成交</w:t>
      </w:r>
      <w:bookmarkEnd w:id="154"/>
      <w:bookmarkEnd w:id="155"/>
      <w:bookmarkEnd w:id="156"/>
      <w:bookmarkEnd w:id="157"/>
      <w:bookmarkEnd w:id="158"/>
      <w:bookmarkEnd w:id="159"/>
    </w:p>
    <w:p w14:paraId="340C7D06">
      <w:pPr>
        <w:spacing w:line="500" w:lineRule="exact"/>
        <w:ind w:firstLine="566" w:firstLineChars="200"/>
        <w:rPr>
          <w:rFonts w:hint="eastAsia" w:ascii="华文仿宋" w:hAnsi="华文仿宋" w:cs="华文仿宋"/>
          <w:color w:val="auto"/>
        </w:rPr>
      </w:pPr>
      <w:r>
        <w:rPr>
          <w:rFonts w:hint="eastAsia" w:ascii="华文仿宋" w:hAnsi="华文仿宋" w:cs="华文仿宋"/>
          <w:color w:val="auto"/>
        </w:rPr>
        <w:t>（一）</w:t>
      </w:r>
      <w:r>
        <w:rPr>
          <w:rFonts w:hint="eastAsia" w:ascii="仿宋" w:hAnsi="仿宋" w:eastAsia="仿宋" w:cs="仿宋"/>
        </w:rPr>
        <w:t>本项目采用第</w:t>
      </w:r>
      <w:r>
        <w:rPr>
          <w:rFonts w:hint="eastAsia" w:ascii="仿宋" w:hAnsi="仿宋" w:eastAsia="仿宋" w:cs="仿宋"/>
          <w:u w:val="single"/>
          <w:lang w:val="en-US" w:eastAsia="zh-CN"/>
        </w:rPr>
        <w:t xml:space="preserve">  1  </w:t>
      </w:r>
      <w:r>
        <w:rPr>
          <w:rFonts w:hint="eastAsia" w:ascii="仿宋" w:hAnsi="仿宋" w:eastAsia="仿宋" w:cs="仿宋"/>
        </w:rPr>
        <w:t>种方式确定</w:t>
      </w:r>
      <w:r>
        <w:rPr>
          <w:rFonts w:hint="eastAsia" w:ascii="仿宋" w:hAnsi="仿宋" w:eastAsia="仿宋" w:cs="仿宋"/>
          <w:lang w:val="en-US" w:eastAsia="zh-CN"/>
        </w:rPr>
        <w:t>成交</w:t>
      </w:r>
      <w:r>
        <w:rPr>
          <w:rFonts w:hint="eastAsia" w:ascii="仿宋" w:hAnsi="仿宋" w:eastAsia="仿宋" w:cs="仿宋"/>
        </w:rPr>
        <w:t>供应商。</w:t>
      </w:r>
    </w:p>
    <w:p w14:paraId="4A5B3DCE">
      <w:pPr>
        <w:spacing w:line="500" w:lineRule="exact"/>
        <w:ind w:firstLine="566" w:firstLineChars="200"/>
        <w:rPr>
          <w:rFonts w:hint="eastAsia"/>
          <w:color w:val="auto"/>
        </w:rPr>
      </w:pPr>
      <w:r>
        <w:rPr>
          <w:rFonts w:hint="eastAsia" w:ascii="华文仿宋" w:hAnsi="华文仿宋" w:cs="华文仿宋"/>
          <w:color w:val="auto"/>
          <w:lang w:val="en-US" w:eastAsia="zh-CN"/>
        </w:rPr>
        <w:t>1、</w:t>
      </w:r>
      <w:r>
        <w:rPr>
          <w:rFonts w:hint="eastAsia" w:ascii="华文仿宋" w:hAnsi="华文仿宋" w:cs="华文仿宋"/>
          <w:color w:val="auto"/>
        </w:rPr>
        <w:t>陕西省省级单位政府采购中心在评审结束后</w:t>
      </w:r>
      <w:r>
        <w:rPr>
          <w:rFonts w:hint="eastAsia" w:ascii="仿宋" w:hAnsi="仿宋" w:eastAsia="仿宋" w:cs="仿宋"/>
          <w:color w:val="auto"/>
        </w:rPr>
        <w:t>2</w:t>
      </w:r>
      <w:r>
        <w:rPr>
          <w:rFonts w:hint="eastAsia" w:ascii="华文仿宋" w:hAnsi="华文仿宋" w:cs="华文仿宋"/>
          <w:color w:val="auto"/>
        </w:rPr>
        <w:t>个工作日内将评审报告送采购人确认。采购人在收到评审报告之日起</w:t>
      </w:r>
      <w:r>
        <w:rPr>
          <w:rFonts w:hint="eastAsia" w:ascii="仿宋" w:hAnsi="仿宋" w:eastAsia="仿宋" w:cs="仿宋"/>
          <w:color w:val="auto"/>
        </w:rPr>
        <w:t>5</w:t>
      </w:r>
      <w:r>
        <w:rPr>
          <w:rFonts w:hint="eastAsia" w:ascii="华文仿宋" w:hAnsi="华文仿宋" w:cs="华文仿宋"/>
          <w:color w:val="auto"/>
        </w:rPr>
        <w:t>个工作日内，从评审报告提出的成交候选供应商中，按照排序由高到低的原则确定成交供应商，也可以书面授权磋商小组直接确定成交供应商。采购人逾期未确定成交供应商且不提出异议的，</w:t>
      </w:r>
      <w:r>
        <w:rPr>
          <w:rFonts w:hint="eastAsia"/>
          <w:color w:val="auto"/>
        </w:rPr>
        <w:t>视同按评审报告提出的排序第一的供应商为成交供应商。</w:t>
      </w:r>
    </w:p>
    <w:p w14:paraId="1628E240">
      <w:pPr>
        <w:pStyle w:val="9"/>
        <w:spacing w:line="500" w:lineRule="exact"/>
        <w:ind w:firstLine="566" w:firstLineChars="200"/>
        <w:rPr>
          <w:rFonts w:hint="default" w:eastAsia="华文仿宋"/>
          <w:lang w:val="en-US" w:eastAsia="zh-CN"/>
        </w:rPr>
      </w:pPr>
      <w:r>
        <w:rPr>
          <w:rFonts w:hint="eastAsia"/>
          <w:color w:val="auto"/>
          <w:lang w:val="en-US" w:eastAsia="zh-CN"/>
        </w:rPr>
        <w:t>2、</w:t>
      </w:r>
      <w:r>
        <w:rPr>
          <w:rFonts w:hint="eastAsia" w:ascii="仿宋" w:hAnsi="仿宋" w:eastAsia="仿宋" w:cs="仿宋"/>
        </w:rPr>
        <w:t>采购人书面授权</w:t>
      </w:r>
      <w:r>
        <w:rPr>
          <w:rFonts w:hint="eastAsia" w:ascii="仿宋" w:hAnsi="仿宋" w:eastAsia="仿宋" w:cs="仿宋"/>
          <w:lang w:val="en-US" w:eastAsia="zh-CN"/>
        </w:rPr>
        <w:t>磋商小组</w:t>
      </w:r>
      <w:r>
        <w:rPr>
          <w:rFonts w:hint="eastAsia" w:ascii="仿宋" w:hAnsi="仿宋" w:eastAsia="仿宋" w:cs="仿宋"/>
        </w:rPr>
        <w:t>直接确定</w:t>
      </w:r>
      <w:r>
        <w:rPr>
          <w:rFonts w:hint="eastAsia" w:ascii="仿宋" w:hAnsi="仿宋" w:eastAsia="仿宋" w:cs="仿宋"/>
          <w:lang w:val="en-US" w:eastAsia="zh-CN"/>
        </w:rPr>
        <w:t>成交</w:t>
      </w:r>
      <w:r>
        <w:rPr>
          <w:rFonts w:hint="eastAsia" w:ascii="仿宋" w:hAnsi="仿宋" w:eastAsia="仿宋" w:cs="仿宋"/>
        </w:rPr>
        <w:t>供应商。</w:t>
      </w:r>
    </w:p>
    <w:p w14:paraId="05D58426">
      <w:pPr>
        <w:wordWrap w:val="0"/>
        <w:spacing w:line="500" w:lineRule="exact"/>
        <w:ind w:firstLine="566" w:firstLineChars="200"/>
        <w:rPr>
          <w:rFonts w:ascii="华文仿宋" w:hAnsi="华文仿宋" w:cs="华文仿宋"/>
          <w:color w:val="auto"/>
        </w:rPr>
      </w:pPr>
      <w:r>
        <w:rPr>
          <w:rFonts w:hint="eastAsia" w:ascii="华文仿宋" w:hAnsi="华文仿宋" w:cs="华文仿宋"/>
          <w:color w:val="auto"/>
        </w:rPr>
        <w:t>（</w:t>
      </w:r>
      <w:r>
        <w:rPr>
          <w:rFonts w:hint="eastAsia" w:ascii="华文仿宋" w:hAnsi="华文仿宋" w:cs="华文仿宋"/>
          <w:color w:val="auto"/>
          <w:lang w:val="en-US" w:eastAsia="zh-CN"/>
        </w:rPr>
        <w:t>二</w:t>
      </w:r>
      <w:r>
        <w:rPr>
          <w:rFonts w:hint="eastAsia" w:ascii="华文仿宋" w:hAnsi="华文仿宋" w:cs="华文仿宋"/>
          <w:color w:val="auto"/>
        </w:rPr>
        <w:t>）</w:t>
      </w:r>
      <w:r>
        <w:rPr>
          <w:rFonts w:hint="eastAsia"/>
          <w:color w:val="auto"/>
        </w:rPr>
        <w:t>陕西省省级单位政府采购中心将在成交供应商确定之日起</w:t>
      </w:r>
      <w:r>
        <w:rPr>
          <w:rFonts w:hint="eastAsia" w:ascii="仿宋" w:hAnsi="仿宋" w:eastAsia="仿宋" w:cs="仿宋"/>
          <w:color w:val="auto"/>
        </w:rPr>
        <w:t>2</w:t>
      </w:r>
      <w:r>
        <w:rPr>
          <w:rFonts w:hint="eastAsia"/>
          <w:color w:val="auto"/>
        </w:rPr>
        <w:t>个工作日内，</w:t>
      </w:r>
      <w:r>
        <w:rPr>
          <w:rFonts w:hint="eastAsia" w:ascii="华文仿宋" w:hAnsi="华文仿宋" w:cs="华文仿宋"/>
          <w:color w:val="auto"/>
        </w:rPr>
        <w:t>在【</w:t>
      </w:r>
      <w:r>
        <w:rPr>
          <w:color w:val="auto"/>
        </w:rPr>
        <w:fldChar w:fldCharType="begin"/>
      </w:r>
      <w:r>
        <w:rPr>
          <w:color w:val="auto"/>
        </w:rPr>
        <w:instrText xml:space="preserve"> HYPERLINK "http://www.ccgp-shaanxi.gov.cn/" </w:instrText>
      </w:r>
      <w:r>
        <w:rPr>
          <w:color w:val="auto"/>
        </w:rPr>
        <w:fldChar w:fldCharType="separate"/>
      </w:r>
      <w:r>
        <w:rPr>
          <w:rStyle w:val="34"/>
          <w:rFonts w:hint="eastAsia" w:ascii="华文仿宋" w:hAnsi="华文仿宋" w:cs="华文仿宋"/>
          <w:color w:val="auto"/>
          <w:sz w:val="28"/>
          <w:szCs w:val="28"/>
        </w:rPr>
        <w:t>陕西省政府采购网</w:t>
      </w:r>
      <w:r>
        <w:rPr>
          <w:rStyle w:val="34"/>
          <w:rFonts w:hint="eastAsia" w:ascii="华文仿宋" w:hAnsi="华文仿宋" w:cs="华文仿宋"/>
          <w:color w:val="auto"/>
          <w:sz w:val="28"/>
          <w:szCs w:val="28"/>
        </w:rPr>
        <w:fldChar w:fldCharType="end"/>
      </w:r>
      <w:r>
        <w:rPr>
          <w:rFonts w:hint="eastAsia" w:ascii="华文仿宋" w:hAnsi="华文仿宋" w:cs="华文仿宋"/>
          <w:color w:val="auto"/>
        </w:rPr>
        <w:t>（www.ccgp-shaanxi.gov.cn）</w:t>
      </w:r>
      <w:r>
        <w:rPr>
          <w:rStyle w:val="34"/>
          <w:rFonts w:hint="eastAsia" w:ascii="华文仿宋" w:hAnsi="华文仿宋" w:cs="华文仿宋"/>
          <w:color w:val="auto"/>
          <w:sz w:val="28"/>
          <w:szCs w:val="28"/>
        </w:rPr>
        <w:t>】、</w:t>
      </w:r>
      <w:r>
        <w:rPr>
          <w:rFonts w:hint="eastAsia" w:ascii="华文仿宋" w:hAnsi="华文仿宋" w:cs="华文仿宋"/>
          <w:color w:val="auto"/>
        </w:rPr>
        <w:t>【全国</w:t>
      </w:r>
      <w:r>
        <w:rPr>
          <w:rFonts w:hint="eastAsia" w:ascii="华文仿宋" w:hAnsi="华文仿宋" w:cs="华文仿宋"/>
          <w:bCs/>
          <w:color w:val="auto"/>
        </w:rPr>
        <w:t>公共资源交易平台（陕西省）（http://www.sxggzyjy.cn/）</w:t>
      </w:r>
      <w:r>
        <w:rPr>
          <w:rStyle w:val="34"/>
          <w:rFonts w:hint="eastAsia" w:ascii="华文仿宋" w:hAnsi="华文仿宋" w:cs="华文仿宋"/>
          <w:color w:val="auto"/>
          <w:sz w:val="28"/>
          <w:szCs w:val="28"/>
        </w:rPr>
        <w:t>】</w:t>
      </w:r>
      <w:r>
        <w:rPr>
          <w:rFonts w:hint="eastAsia" w:ascii="华文仿宋" w:hAnsi="华文仿宋" w:cs="华文仿宋"/>
          <w:color w:val="auto"/>
        </w:rPr>
        <w:t>上发布成交公告，成交公告期限为</w:t>
      </w:r>
      <w:r>
        <w:rPr>
          <w:rFonts w:hint="eastAsia" w:ascii="仿宋" w:hAnsi="仿宋" w:eastAsia="仿宋" w:cs="仿宋"/>
          <w:color w:val="auto"/>
        </w:rPr>
        <w:t>1</w:t>
      </w:r>
      <w:r>
        <w:rPr>
          <w:rFonts w:hint="eastAsia" w:ascii="华文仿宋" w:hAnsi="华文仿宋" w:cs="华文仿宋"/>
          <w:color w:val="auto"/>
        </w:rPr>
        <w:t>个工作日。同时，</w:t>
      </w:r>
      <w:r>
        <w:rPr>
          <w:rFonts w:hint="eastAsia" w:ascii="Calibri" w:hAnsi="Calibri"/>
          <w:color w:val="auto"/>
        </w:rPr>
        <w:t>陕西省省级单位政府采购中心</w:t>
      </w:r>
      <w:r>
        <w:rPr>
          <w:rFonts w:hint="eastAsia"/>
          <w:color w:val="auto"/>
        </w:rPr>
        <w:t>向</w:t>
      </w:r>
      <w:r>
        <w:rPr>
          <w:rFonts w:hint="eastAsia" w:ascii="华文仿宋" w:hAnsi="华文仿宋" w:cs="华文仿宋"/>
          <w:color w:val="auto"/>
        </w:rPr>
        <w:t>成交供应商发出“成交通知书”，并将磋商文件随成交结果同时公告。成交结果公告应当包括以下内容：</w:t>
      </w:r>
    </w:p>
    <w:p w14:paraId="1E5CBD84">
      <w:pPr>
        <w:wordWrap w:val="0"/>
        <w:spacing w:line="500" w:lineRule="exact"/>
        <w:ind w:firstLine="566" w:firstLineChars="200"/>
        <w:rPr>
          <w:rFonts w:ascii="华文仿宋" w:hAnsi="华文仿宋" w:cs="华文仿宋"/>
          <w:color w:val="auto"/>
        </w:rPr>
      </w:pPr>
      <w:r>
        <w:rPr>
          <w:rFonts w:hint="eastAsia" w:ascii="华文仿宋" w:hAnsi="华文仿宋" w:cs="华文仿宋"/>
          <w:color w:val="auto"/>
        </w:rPr>
        <w:t>1、采购人和采购代理机构的名称、地址和联系方式；</w:t>
      </w:r>
    </w:p>
    <w:p w14:paraId="4A515033">
      <w:pPr>
        <w:wordWrap w:val="0"/>
        <w:spacing w:line="500" w:lineRule="exact"/>
        <w:ind w:firstLine="566" w:firstLineChars="200"/>
        <w:rPr>
          <w:rFonts w:ascii="华文仿宋" w:hAnsi="华文仿宋" w:cs="华文仿宋"/>
          <w:color w:val="auto"/>
        </w:rPr>
      </w:pPr>
      <w:r>
        <w:rPr>
          <w:rFonts w:hint="eastAsia" w:ascii="华文仿宋" w:hAnsi="华文仿宋" w:cs="华文仿宋"/>
          <w:color w:val="auto"/>
        </w:rPr>
        <w:t>2、项目名称和项目编号；</w:t>
      </w:r>
    </w:p>
    <w:p w14:paraId="18A1052F">
      <w:pPr>
        <w:wordWrap w:val="0"/>
        <w:spacing w:line="500" w:lineRule="exact"/>
        <w:ind w:firstLine="566" w:firstLineChars="200"/>
        <w:rPr>
          <w:rFonts w:ascii="华文仿宋" w:hAnsi="华文仿宋" w:cs="华文仿宋"/>
          <w:color w:val="auto"/>
        </w:rPr>
      </w:pPr>
      <w:r>
        <w:rPr>
          <w:rFonts w:hint="eastAsia" w:ascii="华文仿宋" w:hAnsi="华文仿宋" w:cs="华文仿宋"/>
          <w:color w:val="auto"/>
        </w:rPr>
        <w:t>3、成交供应商名称、地址和成交金额；</w:t>
      </w:r>
    </w:p>
    <w:p w14:paraId="475962BD">
      <w:pPr>
        <w:wordWrap w:val="0"/>
        <w:spacing w:line="500" w:lineRule="exact"/>
        <w:ind w:firstLine="566" w:firstLineChars="200"/>
        <w:rPr>
          <w:rFonts w:ascii="华文仿宋" w:hAnsi="华文仿宋" w:cs="华文仿宋"/>
          <w:color w:val="auto"/>
        </w:rPr>
      </w:pPr>
      <w:r>
        <w:rPr>
          <w:rFonts w:hint="eastAsia" w:ascii="华文仿宋" w:hAnsi="华文仿宋" w:cs="华文仿宋"/>
          <w:color w:val="auto"/>
        </w:rPr>
        <w:t>4、主要成交标的名称、规格型号、数量、单价、服务要求；</w:t>
      </w:r>
    </w:p>
    <w:p w14:paraId="46906E0C">
      <w:pPr>
        <w:wordWrap w:val="0"/>
        <w:spacing w:line="500" w:lineRule="exact"/>
        <w:ind w:firstLine="566" w:firstLineChars="200"/>
        <w:rPr>
          <w:rFonts w:ascii="华文仿宋" w:hAnsi="华文仿宋" w:cs="华文仿宋"/>
          <w:color w:val="auto"/>
        </w:rPr>
      </w:pPr>
      <w:r>
        <w:rPr>
          <w:rFonts w:hint="eastAsia" w:ascii="华文仿宋" w:hAnsi="华文仿宋" w:cs="华文仿宋"/>
          <w:color w:val="auto"/>
        </w:rPr>
        <w:t>5、磋商小组成员名单。</w:t>
      </w:r>
    </w:p>
    <w:p w14:paraId="6A00EB46">
      <w:pPr>
        <w:wordWrap w:val="0"/>
        <w:spacing w:line="500" w:lineRule="exact"/>
        <w:ind w:firstLine="566" w:firstLineChars="200"/>
        <w:rPr>
          <w:color w:val="auto"/>
        </w:rPr>
      </w:pPr>
      <w:r>
        <w:rPr>
          <w:rFonts w:hint="eastAsia" w:ascii="华文仿宋" w:hAnsi="华文仿宋" w:cs="华文仿宋"/>
          <w:color w:val="auto"/>
        </w:rPr>
        <w:t>采用书面推荐供应商参加采购活动的，还应当公告采购人和评审专家的推荐意见。</w:t>
      </w:r>
    </w:p>
    <w:p w14:paraId="3329AD60">
      <w:pPr>
        <w:pStyle w:val="5"/>
        <w:spacing w:line="500" w:lineRule="exact"/>
        <w:ind w:firstLine="566" w:firstLineChars="200"/>
        <w:rPr>
          <w:rFonts w:ascii="华文仿宋" w:hAnsi="华文仿宋" w:cs="华文仿宋"/>
          <w:color w:val="auto"/>
          <w:sz w:val="28"/>
          <w:szCs w:val="28"/>
        </w:rPr>
      </w:pPr>
      <w:bookmarkStart w:id="171" w:name="_Toc14587"/>
      <w:bookmarkStart w:id="172" w:name="_Toc28870"/>
      <w:bookmarkStart w:id="173" w:name="_Toc14009"/>
      <w:bookmarkStart w:id="174" w:name="_Toc18788"/>
      <w:bookmarkStart w:id="175" w:name="_Toc3100"/>
      <w:bookmarkStart w:id="176" w:name="_Toc19622"/>
      <w:r>
        <w:rPr>
          <w:rFonts w:hint="eastAsia" w:ascii="华文仿宋" w:hAnsi="华文仿宋" w:cs="华文仿宋"/>
          <w:color w:val="auto"/>
          <w:sz w:val="28"/>
          <w:szCs w:val="28"/>
        </w:rPr>
        <w:t>十、签订</w:t>
      </w:r>
      <w:r>
        <w:rPr>
          <w:rFonts w:hint="eastAsia" w:ascii="华文仿宋" w:hAnsi="华文仿宋" w:cs="华文仿宋"/>
          <w:color w:val="auto"/>
          <w:kern w:val="0"/>
          <w:sz w:val="28"/>
          <w:szCs w:val="28"/>
        </w:rPr>
        <w:t>政府采购合同</w:t>
      </w:r>
      <w:bookmarkEnd w:id="171"/>
      <w:bookmarkEnd w:id="172"/>
      <w:bookmarkEnd w:id="173"/>
      <w:bookmarkEnd w:id="174"/>
      <w:bookmarkEnd w:id="175"/>
      <w:bookmarkEnd w:id="176"/>
    </w:p>
    <w:p w14:paraId="34D2524B">
      <w:pPr>
        <w:spacing w:line="500" w:lineRule="exact"/>
        <w:ind w:firstLine="566" w:firstLineChars="200"/>
        <w:rPr>
          <w:rFonts w:ascii="华文仿宋" w:hAnsi="华文仿宋" w:cs="华文仿宋"/>
          <w:color w:val="auto"/>
        </w:rPr>
      </w:pPr>
      <w:r>
        <w:rPr>
          <w:rFonts w:hint="eastAsia" w:ascii="华文仿宋" w:hAnsi="华文仿宋" w:cs="华文仿宋"/>
          <w:color w:val="auto"/>
        </w:rPr>
        <w:t>（一）采购人与成交供应商应当在成交通知书发出之日起30日内，按照磋商文件确定的合同文本以及采购标的、规格型号、采购金额、采购数量、技术和服务要求等事项签订政府采购合同。</w:t>
      </w:r>
    </w:p>
    <w:p w14:paraId="232D7895">
      <w:pPr>
        <w:spacing w:line="500" w:lineRule="exact"/>
        <w:ind w:firstLine="566" w:firstLineChars="200"/>
        <w:rPr>
          <w:rFonts w:ascii="华文仿宋" w:hAnsi="华文仿宋" w:cs="华文仿宋"/>
          <w:color w:val="auto"/>
        </w:rPr>
      </w:pPr>
      <w:r>
        <w:rPr>
          <w:rFonts w:hint="eastAsia" w:ascii="华文仿宋" w:hAnsi="华文仿宋" w:cs="华文仿宋"/>
          <w:color w:val="auto"/>
        </w:rPr>
        <w:t>（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71F1048">
      <w:pPr>
        <w:spacing w:line="500" w:lineRule="exact"/>
        <w:ind w:firstLine="566" w:firstLineChars="200"/>
        <w:rPr>
          <w:rFonts w:ascii="华文仿宋" w:hAnsi="华文仿宋" w:cs="华文仿宋"/>
          <w:color w:val="auto"/>
        </w:rPr>
      </w:pPr>
      <w:r>
        <w:rPr>
          <w:rFonts w:hint="eastAsia" w:ascii="华文仿宋" w:hAnsi="华文仿宋" w:cs="华文仿宋"/>
          <w:color w:val="auto"/>
        </w:rPr>
        <w:t>（三）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63B95130">
      <w:pPr>
        <w:spacing w:line="500" w:lineRule="exact"/>
        <w:ind w:firstLine="566" w:firstLineChars="200"/>
        <w:rPr>
          <w:rFonts w:ascii="华文仿宋" w:hAnsi="华文仿宋" w:cs="华文仿宋"/>
          <w:color w:val="auto"/>
        </w:rPr>
      </w:pPr>
      <w:r>
        <w:rPr>
          <w:rFonts w:hint="eastAsia" w:ascii="华文仿宋" w:hAnsi="华文仿宋" w:cs="华文仿宋"/>
          <w:color w:val="auto"/>
        </w:rPr>
        <w:t>（四）磋商文件、成交供应商的响应文件、</w:t>
      </w:r>
      <w:r>
        <w:rPr>
          <w:rFonts w:hint="eastAsia" w:ascii="仿宋" w:hAnsi="仿宋" w:eastAsia="仿宋" w:cs="仿宋"/>
          <w:color w:val="auto"/>
        </w:rPr>
        <w:t>《成交通知书》及其</w:t>
      </w:r>
      <w:r>
        <w:rPr>
          <w:rFonts w:hint="eastAsia" w:ascii="华文仿宋" w:hAnsi="华文仿宋" w:cs="华文仿宋"/>
          <w:color w:val="auto"/>
        </w:rPr>
        <w:t>澄清、</w:t>
      </w:r>
      <w:r>
        <w:rPr>
          <w:rFonts w:hint="eastAsia" w:ascii="仿宋" w:hAnsi="仿宋" w:eastAsia="仿宋" w:cs="仿宋"/>
          <w:color w:val="auto"/>
        </w:rPr>
        <w:t>说明文件、承诺</w:t>
      </w:r>
      <w:r>
        <w:rPr>
          <w:rFonts w:hint="eastAsia" w:ascii="华文仿宋" w:hAnsi="华文仿宋" w:cs="华文仿宋"/>
          <w:color w:val="auto"/>
        </w:rPr>
        <w:t>等，均为签订采购合同的组成部分，</w:t>
      </w:r>
      <w:r>
        <w:rPr>
          <w:rFonts w:hint="eastAsia" w:ascii="仿宋" w:hAnsi="仿宋" w:eastAsia="仿宋" w:cs="仿宋"/>
          <w:color w:val="auto"/>
        </w:rPr>
        <w:t>作为采购合同的组成部分。</w:t>
      </w:r>
    </w:p>
    <w:p w14:paraId="4B5A4E59">
      <w:pPr>
        <w:spacing w:line="500" w:lineRule="exact"/>
        <w:ind w:firstLine="566" w:firstLineChars="200"/>
        <w:rPr>
          <w:rFonts w:hint="eastAsia" w:ascii="华文仿宋" w:hAnsi="华文仿宋" w:cs="华文仿宋"/>
          <w:color w:val="auto"/>
        </w:rPr>
      </w:pPr>
      <w:r>
        <w:rPr>
          <w:rFonts w:hint="eastAsia" w:ascii="仿宋" w:hAnsi="仿宋" w:eastAsia="仿宋" w:cs="仿宋"/>
          <w:color w:val="auto"/>
          <w:kern w:val="0"/>
        </w:rPr>
        <w:t>（五）</w:t>
      </w:r>
      <w:r>
        <w:rPr>
          <w:rFonts w:hint="eastAsia" w:ascii="华文仿宋" w:hAnsi="华文仿宋" w:cs="华文仿宋"/>
          <w:color w:val="auto"/>
        </w:rPr>
        <w:t>政府采购合同应当包括采购人与成交供应商的名称和住所、标的、数量、质量、价款或者报酬、履行期限及地点和方式、验收要求、违约责任、解决争议的方法等内容。</w:t>
      </w:r>
    </w:p>
    <w:p w14:paraId="1EF859F1">
      <w:pPr>
        <w:spacing w:line="500" w:lineRule="exact"/>
        <w:ind w:firstLine="566" w:firstLineChars="200"/>
        <w:rPr>
          <w:rFonts w:hint="eastAsia" w:ascii="华文仿宋" w:hAnsi="华文仿宋" w:cs="华文仿宋"/>
          <w:color w:val="auto"/>
        </w:rPr>
      </w:pPr>
      <w:r>
        <w:rPr>
          <w:rFonts w:hint="eastAsia" w:ascii="仿宋" w:hAnsi="仿宋" w:eastAsia="仿宋" w:cs="仿宋"/>
          <w:color w:val="auto"/>
          <w:kern w:val="0"/>
        </w:rPr>
        <w:t>（六）</w:t>
      </w:r>
      <w:r>
        <w:rPr>
          <w:rFonts w:hint="eastAsia" w:ascii="华文仿宋" w:hAnsi="华文仿宋" w:cs="华文仿宋"/>
          <w:color w:val="auto"/>
        </w:rPr>
        <w:t>采购人与成交供应商应当根据合同的约定依法履行合同义务。</w:t>
      </w:r>
    </w:p>
    <w:p w14:paraId="1C7D6EDB">
      <w:pPr>
        <w:spacing w:line="500" w:lineRule="exact"/>
        <w:ind w:firstLine="566" w:firstLineChars="200"/>
        <w:rPr>
          <w:rFonts w:ascii="仿宋" w:hAnsi="仿宋" w:eastAsia="仿宋" w:cs="仿宋"/>
          <w:color w:val="auto"/>
          <w:kern w:val="0"/>
        </w:rPr>
      </w:pPr>
      <w:r>
        <w:rPr>
          <w:rFonts w:hint="eastAsia" w:ascii="华文仿宋" w:hAnsi="华文仿宋" w:cs="华文仿宋"/>
          <w:color w:val="auto"/>
        </w:rPr>
        <w:t>政府采购合同的履行、违约责任和解决争议的方法等适用《中华人民共和国合同法》。</w:t>
      </w:r>
    </w:p>
    <w:p w14:paraId="2415225D">
      <w:pPr>
        <w:spacing w:line="500" w:lineRule="exact"/>
        <w:ind w:firstLine="566" w:firstLineChars="200"/>
        <w:rPr>
          <w:rFonts w:hint="eastAsia" w:ascii="华文仿宋" w:hAnsi="华文仿宋" w:cs="华文仿宋"/>
          <w:color w:val="auto"/>
        </w:rPr>
      </w:pPr>
      <w:r>
        <w:rPr>
          <w:rFonts w:hint="eastAsia" w:ascii="仿宋" w:hAnsi="仿宋" w:eastAsia="仿宋" w:cs="仿宋"/>
          <w:color w:val="auto"/>
          <w:kern w:val="0"/>
        </w:rPr>
        <w:t>（七）</w:t>
      </w:r>
      <w:r>
        <w:rPr>
          <w:rFonts w:hint="eastAsia" w:ascii="华文仿宋" w:hAnsi="华文仿宋" w:cs="华文仿宋"/>
          <w:color w:val="auto"/>
        </w:rPr>
        <w:t>采购人应当及时对采购项目进行验收。采购人可以邀请参加本项目的其他投标供应商或者第三方机构参与验收。参与验收的投标供应商或者第三方机构的意见作为验收书的参考资料一并存档。</w:t>
      </w:r>
    </w:p>
    <w:p w14:paraId="23FD2346">
      <w:pPr>
        <w:spacing w:line="500" w:lineRule="exact"/>
        <w:ind w:firstLine="566" w:firstLineChars="200"/>
        <w:rPr>
          <w:rFonts w:hint="eastAsia" w:ascii="华文仿宋" w:hAnsi="华文仿宋" w:cs="华文仿宋"/>
          <w:color w:val="auto"/>
        </w:rPr>
      </w:pPr>
      <w:r>
        <w:rPr>
          <w:rFonts w:hint="eastAsia" w:ascii="华文仿宋" w:hAnsi="华文仿宋" w:cs="华文仿宋"/>
          <w:color w:val="auto"/>
        </w:rPr>
        <w:t>（八）采购人应当加强对成交供应商的履约管理，并按照采购合同约定，及时向成交供应商支付采购资金。对于成交供应商违反采购合同约定的行为，采购人应当及时处理，依法追究其违约责任。</w:t>
      </w:r>
    </w:p>
    <w:p w14:paraId="2352D5E6">
      <w:pPr>
        <w:pStyle w:val="5"/>
        <w:spacing w:line="500" w:lineRule="exact"/>
        <w:ind w:firstLine="566" w:firstLineChars="200"/>
        <w:rPr>
          <w:rFonts w:ascii="华文仿宋" w:hAnsi="华文仿宋" w:cs="华文仿宋"/>
          <w:color w:val="auto"/>
          <w:sz w:val="28"/>
          <w:szCs w:val="28"/>
        </w:rPr>
      </w:pPr>
      <w:bookmarkStart w:id="177" w:name="_Toc23346"/>
      <w:bookmarkStart w:id="178" w:name="_Toc16837"/>
      <w:bookmarkStart w:id="179" w:name="_Toc7402"/>
      <w:bookmarkStart w:id="180" w:name="_Toc21906"/>
      <w:bookmarkStart w:id="181" w:name="_Toc1272"/>
      <w:bookmarkStart w:id="182" w:name="_Toc26408"/>
      <w:r>
        <w:rPr>
          <w:rFonts w:hint="eastAsia" w:ascii="华文仿宋" w:hAnsi="华文仿宋" w:cs="华文仿宋"/>
          <w:color w:val="auto"/>
          <w:sz w:val="28"/>
          <w:szCs w:val="28"/>
        </w:rPr>
        <w:t>十一、其他</w:t>
      </w:r>
      <w:bookmarkEnd w:id="177"/>
      <w:bookmarkEnd w:id="178"/>
      <w:bookmarkEnd w:id="179"/>
      <w:bookmarkEnd w:id="180"/>
      <w:bookmarkEnd w:id="181"/>
      <w:bookmarkEnd w:id="182"/>
    </w:p>
    <w:p w14:paraId="1720E6ED">
      <w:pPr>
        <w:spacing w:line="500" w:lineRule="exact"/>
        <w:ind w:firstLine="566" w:firstLineChars="200"/>
        <w:rPr>
          <w:rFonts w:ascii="华文仿宋" w:hAnsi="华文仿宋" w:cs="华文仿宋"/>
          <w:color w:val="auto"/>
        </w:rPr>
      </w:pPr>
      <w:r>
        <w:rPr>
          <w:rFonts w:hint="eastAsia" w:ascii="华文仿宋" w:hAnsi="华文仿宋" w:cs="华文仿宋"/>
          <w:color w:val="auto"/>
        </w:rPr>
        <w:t>（一）磋商小组发现磋商文件存在歧义、重大缺陷导致评审工作无法进行，或者磋商文件内容违反国家有关强制性规定的，应当停止评审工作，与采购人或者陕西省省级单位政府采购中心沟通并作书面记录。采购人或者陕西省省级单位政府采购中心确认后，应当修改磋商文件，重新组织采购活动。</w:t>
      </w:r>
    </w:p>
    <w:p w14:paraId="2D1328DE">
      <w:pPr>
        <w:spacing w:line="500" w:lineRule="exact"/>
        <w:ind w:firstLine="566" w:firstLineChars="200"/>
        <w:rPr>
          <w:rFonts w:ascii="华文仿宋" w:hAnsi="华文仿宋" w:cs="华文仿宋"/>
          <w:color w:val="auto"/>
        </w:rPr>
      </w:pPr>
      <w:r>
        <w:rPr>
          <w:rFonts w:hint="eastAsia" w:ascii="华文仿宋" w:hAnsi="华文仿宋" w:cs="华文仿宋"/>
          <w:color w:val="auto"/>
        </w:rPr>
        <w:t>（二）根据《政府采购法》第三十六条规定，在招标采购中，出现下列情形之一的，本项目按废标处理：</w:t>
      </w:r>
    </w:p>
    <w:p w14:paraId="71450F84">
      <w:pPr>
        <w:spacing w:line="500" w:lineRule="exact"/>
        <w:ind w:firstLine="566" w:firstLineChars="200"/>
        <w:rPr>
          <w:rFonts w:ascii="华文仿宋" w:hAnsi="华文仿宋" w:cs="华文仿宋"/>
          <w:color w:val="auto"/>
        </w:rPr>
      </w:pPr>
      <w:r>
        <w:rPr>
          <w:rFonts w:hint="eastAsia" w:ascii="华文仿宋" w:hAnsi="华文仿宋" w:cs="华文仿宋"/>
          <w:color w:val="auto"/>
        </w:rPr>
        <w:t>1、出现影响采购公正的违法、违规行为的；</w:t>
      </w:r>
    </w:p>
    <w:p w14:paraId="10273C9E">
      <w:pPr>
        <w:spacing w:line="500" w:lineRule="exact"/>
        <w:ind w:firstLine="566" w:firstLineChars="200"/>
        <w:rPr>
          <w:rFonts w:ascii="华文仿宋" w:hAnsi="华文仿宋" w:cs="华文仿宋"/>
          <w:color w:val="auto"/>
        </w:rPr>
      </w:pPr>
      <w:r>
        <w:rPr>
          <w:rFonts w:hint="eastAsia" w:ascii="华文仿宋" w:hAnsi="华文仿宋" w:cs="华文仿宋"/>
          <w:color w:val="auto"/>
        </w:rPr>
        <w:t>2、供应商的报价均超过了采购预算，采购人不能支付的；</w:t>
      </w:r>
    </w:p>
    <w:p w14:paraId="7368CF94">
      <w:pPr>
        <w:spacing w:line="500" w:lineRule="exact"/>
        <w:ind w:firstLine="566" w:firstLineChars="200"/>
        <w:rPr>
          <w:rFonts w:ascii="华文仿宋" w:hAnsi="华文仿宋" w:cs="华文仿宋"/>
          <w:color w:val="auto"/>
        </w:rPr>
      </w:pPr>
      <w:r>
        <w:rPr>
          <w:rFonts w:hint="eastAsia" w:ascii="华文仿宋" w:hAnsi="华文仿宋" w:cs="华文仿宋"/>
          <w:color w:val="auto"/>
        </w:rPr>
        <w:t>3、因重大变故，采购任务取消的。</w:t>
      </w:r>
    </w:p>
    <w:p w14:paraId="079F6DDE">
      <w:pPr>
        <w:spacing w:line="500" w:lineRule="exact"/>
        <w:ind w:firstLine="566" w:firstLineChars="200"/>
        <w:rPr>
          <w:rFonts w:ascii="华文仿宋" w:hAnsi="华文仿宋" w:cs="华文仿宋"/>
          <w:color w:val="auto"/>
        </w:rPr>
      </w:pPr>
      <w:r>
        <w:rPr>
          <w:rFonts w:hint="eastAsia" w:ascii="华文仿宋" w:hAnsi="华文仿宋" w:cs="华文仿宋"/>
          <w:color w:val="auto"/>
        </w:rPr>
        <w:t>废标后，由陕西省省级单位政府采购中心发布废标公告。除采购任务取消外，本项目将重新组织招标。</w:t>
      </w:r>
    </w:p>
    <w:p w14:paraId="4650024A">
      <w:pPr>
        <w:spacing w:line="500" w:lineRule="exact"/>
        <w:ind w:firstLine="566" w:firstLineChars="200"/>
        <w:rPr>
          <w:rFonts w:ascii="华文仿宋" w:hAnsi="华文仿宋" w:cs="华文仿宋"/>
          <w:color w:val="auto"/>
        </w:rPr>
      </w:pPr>
      <w:r>
        <w:rPr>
          <w:rFonts w:hint="eastAsia" w:ascii="华文仿宋" w:hAnsi="华文仿宋" w:cs="华文仿宋"/>
          <w:color w:val="auto"/>
        </w:rPr>
        <w:t>（三）在递交响应文件阶段、密封性等形式检查阶段、资格审查阶段或磋商小组评审阶段，当出现有效投标供应商不足3家时，除采购任务取消外，按照以下方式处理：</w:t>
      </w:r>
    </w:p>
    <w:p w14:paraId="6A1AE350">
      <w:pPr>
        <w:spacing w:line="500" w:lineRule="exact"/>
        <w:ind w:firstLine="566" w:firstLineChars="200"/>
        <w:rPr>
          <w:rFonts w:ascii="华文仿宋" w:hAnsi="华文仿宋" w:cs="华文仿宋"/>
          <w:color w:val="auto"/>
        </w:rPr>
      </w:pPr>
      <w:r>
        <w:rPr>
          <w:rFonts w:hint="eastAsia" w:ascii="华文仿宋" w:hAnsi="华文仿宋" w:cs="华文仿宋"/>
          <w:color w:val="auto"/>
        </w:rPr>
        <w:t>1、磋商文件存在不合理条款或者招标程序不符合规定的，采购人、陕西省省级单位政府采购中心改正后依法重新招标；</w:t>
      </w:r>
    </w:p>
    <w:p w14:paraId="1A390901">
      <w:pPr>
        <w:spacing w:line="500" w:lineRule="exact"/>
        <w:ind w:firstLine="566" w:firstLineChars="200"/>
        <w:rPr>
          <w:rFonts w:ascii="华文仿宋" w:hAnsi="华文仿宋" w:cs="华文仿宋"/>
          <w:color w:val="auto"/>
        </w:rPr>
      </w:pPr>
      <w:r>
        <w:rPr>
          <w:rFonts w:hint="eastAsia" w:ascii="华文仿宋" w:hAnsi="华文仿宋" w:cs="华文仿宋"/>
          <w:color w:val="auto"/>
        </w:rPr>
        <w:t>2、磋商文件没有不合理条款、招标程序符合规定，需要采用其他采购方式采购的，采购人应当依法报财政部门批准。</w:t>
      </w:r>
    </w:p>
    <w:p w14:paraId="43342176">
      <w:pPr>
        <w:spacing w:line="500" w:lineRule="exact"/>
        <w:ind w:firstLine="566" w:firstLineChars="200"/>
        <w:rPr>
          <w:rFonts w:ascii="华文仿宋" w:hAnsi="华文仿宋" w:cs="华文仿宋"/>
          <w:color w:val="auto"/>
        </w:rPr>
      </w:pPr>
      <w:r>
        <w:rPr>
          <w:rFonts w:hint="eastAsia" w:ascii="华文仿宋" w:hAnsi="华文仿宋" w:cs="华文仿宋"/>
          <w:color w:val="auto"/>
        </w:rPr>
        <w:t>（四）陕西省省级单位政府采购中心应当采取必要措施，保证评审在严格保密的情况下进行。除采购人代表、评审现场组织人员外，采购人的其他工作人员以及与评审工作无关的人员不得进入评审现场。</w:t>
      </w:r>
    </w:p>
    <w:p w14:paraId="55B01B29">
      <w:pPr>
        <w:spacing w:line="500" w:lineRule="exact"/>
        <w:ind w:firstLine="566" w:firstLineChars="200"/>
        <w:rPr>
          <w:rFonts w:ascii="华文仿宋" w:hAnsi="华文仿宋" w:cs="华文仿宋"/>
          <w:color w:val="auto"/>
        </w:rPr>
      </w:pPr>
      <w:r>
        <w:rPr>
          <w:rFonts w:hint="eastAsia" w:ascii="华文仿宋" w:hAnsi="华文仿宋" w:cs="华文仿宋"/>
          <w:color w:val="auto"/>
        </w:rPr>
        <w:t>有关人员对评审情况以及在评审过程中获悉的国家秘密、商业秘密负有保密责任。</w:t>
      </w:r>
    </w:p>
    <w:p w14:paraId="1CDE81FF">
      <w:pPr>
        <w:spacing w:line="500" w:lineRule="exact"/>
        <w:ind w:firstLine="566" w:firstLineChars="200"/>
        <w:rPr>
          <w:rFonts w:ascii="华文仿宋" w:hAnsi="华文仿宋" w:cs="华文仿宋"/>
          <w:color w:val="auto"/>
        </w:rPr>
      </w:pPr>
      <w:r>
        <w:rPr>
          <w:rFonts w:hint="eastAsia" w:ascii="华文仿宋" w:hAnsi="华文仿宋" w:cs="华文仿宋"/>
          <w:color w:val="auto"/>
        </w:rPr>
        <w:t>（五）磋商文件未明确的其他事项，按《政府采购法》及其相关法律法规执行。</w:t>
      </w:r>
    </w:p>
    <w:p w14:paraId="4A4D0446">
      <w:pPr>
        <w:pStyle w:val="5"/>
        <w:spacing w:line="500" w:lineRule="exact"/>
        <w:ind w:firstLine="566" w:firstLineChars="200"/>
        <w:rPr>
          <w:rFonts w:ascii="黑体" w:hAnsi="黑体" w:eastAsia="黑体"/>
          <w:color w:val="auto"/>
          <w:sz w:val="28"/>
          <w:szCs w:val="28"/>
        </w:rPr>
        <w:sectPr>
          <w:headerReference r:id="rId7" w:type="default"/>
          <w:footerReference r:id="rId8" w:type="default"/>
          <w:pgSz w:w="11906" w:h="16838"/>
          <w:pgMar w:top="1417" w:right="1417" w:bottom="1417" w:left="1417" w:header="850" w:footer="992" w:gutter="0"/>
          <w:pgNumType w:fmt="decimal" w:start="1"/>
          <w:cols w:space="720" w:num="1"/>
          <w:docGrid w:type="linesAndChars" w:linePitch="381" w:charSpace="704"/>
        </w:sectPr>
      </w:pPr>
      <w:bookmarkStart w:id="183" w:name="_Toc23303"/>
      <w:bookmarkStart w:id="184" w:name="_Toc11584"/>
      <w:bookmarkStart w:id="185" w:name="_Toc10336"/>
      <w:bookmarkStart w:id="186" w:name="_Toc4764"/>
      <w:bookmarkStart w:id="187" w:name="_Toc8426"/>
      <w:bookmarkStart w:id="188" w:name="_Toc11780"/>
      <w:bookmarkStart w:id="189" w:name="_Toc31101"/>
      <w:bookmarkStart w:id="190" w:name="_Toc23529"/>
      <w:bookmarkStart w:id="191" w:name="_Toc28650"/>
      <w:bookmarkStart w:id="192" w:name="_Toc27151"/>
      <w:bookmarkStart w:id="193" w:name="_Toc28306"/>
      <w:r>
        <w:rPr>
          <w:rFonts w:hint="eastAsia" w:ascii="华文仿宋" w:hAnsi="华文仿宋" w:cs="华文仿宋"/>
          <w:color w:val="auto"/>
          <w:sz w:val="28"/>
          <w:szCs w:val="28"/>
        </w:rPr>
        <w:t>十二、采购代理服务费：</w:t>
      </w:r>
      <w:r>
        <w:rPr>
          <w:rFonts w:hint="eastAsia"/>
          <w:color w:val="auto"/>
          <w:sz w:val="28"/>
          <w:szCs w:val="28"/>
        </w:rPr>
        <w:t>免费</w:t>
      </w:r>
      <w:bookmarkEnd w:id="183"/>
      <w:bookmarkEnd w:id="184"/>
      <w:bookmarkEnd w:id="185"/>
      <w:bookmarkEnd w:id="186"/>
      <w:bookmarkEnd w:id="187"/>
      <w:bookmarkEnd w:id="188"/>
      <w:bookmarkEnd w:id="189"/>
      <w:bookmarkEnd w:id="190"/>
      <w:bookmarkEnd w:id="191"/>
      <w:bookmarkEnd w:id="192"/>
      <w:bookmarkEnd w:id="193"/>
    </w:p>
    <w:p w14:paraId="7964C257">
      <w:pPr>
        <w:pStyle w:val="4"/>
        <w:spacing w:afterLines="50"/>
        <w:jc w:val="center"/>
        <w:rPr>
          <w:rFonts w:ascii="黑体" w:hAnsi="黑体" w:eastAsia="黑体"/>
          <w:b w:val="0"/>
          <w:bCs/>
          <w:color w:val="auto"/>
          <w:sz w:val="32"/>
          <w:szCs w:val="32"/>
        </w:rPr>
      </w:pPr>
      <w:bookmarkStart w:id="194" w:name="_Toc10476_WPSOffice_Level1"/>
      <w:bookmarkStart w:id="195" w:name="_Toc3316"/>
      <w:bookmarkStart w:id="196" w:name="_Toc32224"/>
      <w:bookmarkStart w:id="197" w:name="_Toc10227"/>
      <w:r>
        <w:rPr>
          <w:rFonts w:hint="eastAsia" w:ascii="黑体" w:hAnsi="黑体" w:eastAsia="黑体"/>
          <w:b w:val="0"/>
          <w:bCs/>
          <w:color w:val="auto"/>
          <w:sz w:val="32"/>
          <w:szCs w:val="32"/>
        </w:rPr>
        <w:t>第三章  磋商内容及采</w:t>
      </w:r>
      <w:bookmarkEnd w:id="194"/>
      <w:r>
        <w:rPr>
          <w:rFonts w:hint="eastAsia" w:ascii="黑体" w:hAnsi="黑体" w:eastAsia="黑体"/>
          <w:b w:val="0"/>
          <w:bCs/>
          <w:color w:val="auto"/>
          <w:sz w:val="32"/>
          <w:szCs w:val="32"/>
        </w:rPr>
        <w:t>购要求</w:t>
      </w:r>
      <w:bookmarkEnd w:id="160"/>
      <w:bookmarkEnd w:id="161"/>
      <w:bookmarkEnd w:id="162"/>
      <w:bookmarkEnd w:id="163"/>
      <w:bookmarkEnd w:id="164"/>
      <w:bookmarkEnd w:id="165"/>
      <w:bookmarkEnd w:id="166"/>
      <w:bookmarkEnd w:id="167"/>
      <w:bookmarkEnd w:id="168"/>
      <w:bookmarkEnd w:id="169"/>
      <w:bookmarkEnd w:id="170"/>
      <w:bookmarkEnd w:id="195"/>
      <w:bookmarkEnd w:id="196"/>
      <w:bookmarkEnd w:id="197"/>
    </w:p>
    <w:p w14:paraId="76291DF5">
      <w:pPr>
        <w:pStyle w:val="5"/>
        <w:keepNext/>
        <w:keepLines/>
        <w:spacing w:beforeLines="0" w:line="500" w:lineRule="exact"/>
        <w:ind w:firstLine="562" w:firstLineChars="200"/>
        <w:rPr>
          <w:rFonts w:hint="eastAsia" w:ascii="华文仿宋" w:hAnsi="华文仿宋" w:cs="华文仿宋"/>
          <w:color w:val="auto"/>
          <w:sz w:val="28"/>
          <w:szCs w:val="28"/>
          <w:lang w:eastAsia="zh-CN"/>
        </w:rPr>
      </w:pPr>
      <w:bookmarkStart w:id="198" w:name="_Toc8262"/>
      <w:bookmarkStart w:id="199" w:name="_Toc9322"/>
      <w:bookmarkStart w:id="200" w:name="_Toc8424"/>
      <w:r>
        <w:rPr>
          <w:rFonts w:hint="eastAsia" w:ascii="华文仿宋" w:hAnsi="华文仿宋" w:cs="华文仿宋"/>
          <w:color w:val="auto"/>
          <w:sz w:val="28"/>
          <w:szCs w:val="28"/>
        </w:rPr>
        <w:t>一、项目基本情</w:t>
      </w:r>
      <w:r>
        <w:rPr>
          <w:rFonts w:hint="eastAsia" w:ascii="华文仿宋" w:hAnsi="华文仿宋" w:cs="华文仿宋"/>
          <w:color w:val="auto"/>
          <w:sz w:val="28"/>
          <w:szCs w:val="28"/>
          <w:lang w:eastAsia="zh-CN"/>
        </w:rPr>
        <w:t>况</w:t>
      </w:r>
      <w:bookmarkEnd w:id="198"/>
      <w:bookmarkEnd w:id="199"/>
    </w:p>
    <w:p w14:paraId="439488FF">
      <w:pPr>
        <w:spacing w:beforeLines="0" w:line="500" w:lineRule="exact"/>
        <w:ind w:firstLine="560" w:firstLineChars="200"/>
        <w:jc w:val="left"/>
        <w:rPr>
          <w:rFonts w:hint="eastAsia"/>
          <w:lang w:val="en-US" w:eastAsia="zh-CN"/>
        </w:rPr>
      </w:pPr>
      <w:r>
        <w:rPr>
          <w:rFonts w:hint="eastAsia"/>
          <w:lang w:val="en-US" w:eastAsia="zh-CN"/>
        </w:rPr>
        <w:t>本项目是局机关物业管理服务采购项目。工作要求：</w:t>
      </w:r>
      <w:r>
        <w:rPr>
          <w:rFonts w:hint="eastAsia"/>
          <w:lang w:val="zh-CN" w:eastAsia="zh-CN"/>
        </w:rPr>
        <w:t>环境卫生、绿化管理、家属院环境卫生、保安服务、家属院门岗。</w:t>
      </w:r>
      <w:r>
        <w:rPr>
          <w:rFonts w:hint="eastAsia"/>
          <w:lang w:val="en-US" w:eastAsia="zh-CN"/>
        </w:rPr>
        <w:t xml:space="preserve"> </w:t>
      </w:r>
    </w:p>
    <w:p w14:paraId="139C8A34">
      <w:pPr>
        <w:pStyle w:val="5"/>
        <w:keepNext/>
        <w:keepLines/>
        <w:spacing w:beforeLines="0" w:line="500" w:lineRule="exact"/>
        <w:ind w:firstLine="562" w:firstLineChars="200"/>
        <w:rPr>
          <w:rFonts w:hint="eastAsia" w:ascii="华文仿宋" w:hAnsi="华文仿宋" w:cs="华文仿宋"/>
          <w:color w:val="auto"/>
          <w:sz w:val="28"/>
          <w:szCs w:val="28"/>
          <w:lang w:val="en-US" w:eastAsia="zh-CN"/>
        </w:rPr>
      </w:pPr>
      <w:bookmarkStart w:id="201" w:name="_Toc21461"/>
      <w:bookmarkStart w:id="202" w:name="_Toc23103"/>
      <w:r>
        <w:rPr>
          <w:rFonts w:hint="eastAsia" w:ascii="华文仿宋" w:hAnsi="华文仿宋" w:cs="华文仿宋"/>
          <w:color w:val="auto"/>
          <w:sz w:val="28"/>
          <w:szCs w:val="28"/>
          <w:lang w:eastAsia="zh-CN"/>
        </w:rPr>
        <w:t>二、</w:t>
      </w:r>
      <w:r>
        <w:rPr>
          <w:rFonts w:hint="eastAsia" w:ascii="华文仿宋" w:hAnsi="华文仿宋" w:cs="华文仿宋"/>
          <w:color w:val="auto"/>
          <w:sz w:val="28"/>
          <w:szCs w:val="28"/>
          <w:lang w:val="en-US" w:eastAsia="zh-CN"/>
        </w:rPr>
        <w:t>采购</w:t>
      </w:r>
      <w:r>
        <w:rPr>
          <w:rFonts w:hint="eastAsia" w:ascii="华文仿宋" w:hAnsi="华文仿宋" w:cs="华文仿宋"/>
          <w:color w:val="auto"/>
          <w:sz w:val="28"/>
          <w:szCs w:val="28"/>
          <w:lang w:val="zh-CN" w:eastAsia="zh-CN"/>
        </w:rPr>
        <w:t>内容</w:t>
      </w:r>
      <w:r>
        <w:rPr>
          <w:rFonts w:hint="eastAsia" w:ascii="华文仿宋" w:hAnsi="华文仿宋" w:cs="华文仿宋"/>
          <w:color w:val="auto"/>
          <w:sz w:val="28"/>
          <w:szCs w:val="28"/>
          <w:lang w:val="en-US" w:eastAsia="zh-CN"/>
        </w:rPr>
        <w:t>及要求</w:t>
      </w:r>
      <w:bookmarkEnd w:id="201"/>
      <w:bookmarkEnd w:id="202"/>
    </w:p>
    <w:bookmarkEnd w:id="200"/>
    <w:p w14:paraId="0292F75B">
      <w:pPr>
        <w:spacing w:beforeLines="0" w:line="500" w:lineRule="exact"/>
        <w:ind w:firstLine="560" w:firstLineChars="200"/>
        <w:rPr>
          <w:rFonts w:hint="eastAsia"/>
          <w:lang w:val="zh-CN"/>
        </w:rPr>
      </w:pPr>
      <w:r>
        <w:rPr>
          <w:rFonts w:hint="eastAsia"/>
          <w:lang w:val="en-US" w:eastAsia="zh-CN"/>
        </w:rPr>
        <w:t>1.</w:t>
      </w:r>
      <w:r>
        <w:rPr>
          <w:rFonts w:hint="eastAsia"/>
          <w:lang w:val="zh-CN"/>
        </w:rPr>
        <w:t>服务范围</w:t>
      </w:r>
    </w:p>
    <w:p w14:paraId="3235DB81">
      <w:pPr>
        <w:spacing w:beforeLines="0" w:line="500" w:lineRule="exact"/>
        <w:ind w:firstLine="560" w:firstLineChars="200"/>
        <w:rPr>
          <w:rFonts w:hint="eastAsia"/>
          <w:lang w:val="zh-CN" w:eastAsia="zh-CN"/>
        </w:rPr>
      </w:pPr>
      <w:r>
        <w:rPr>
          <w:rFonts w:hint="eastAsia"/>
          <w:lang w:val="zh-CN" w:eastAsia="zh-CN"/>
        </w:rPr>
        <w:t>省信访局机关办公楼、来访接待场所、家属院等区域环境卫生、绿化管理、家属院环境卫生、保安服务。</w:t>
      </w:r>
    </w:p>
    <w:p w14:paraId="434B9AD4">
      <w:pPr>
        <w:numPr>
          <w:ilvl w:val="0"/>
          <w:numId w:val="0"/>
        </w:numPr>
        <w:spacing w:beforeLines="0" w:line="500" w:lineRule="exact"/>
        <w:ind w:leftChars="0" w:firstLine="560" w:firstLineChars="200"/>
        <w:jc w:val="left"/>
        <w:rPr>
          <w:rFonts w:hint="eastAsia"/>
          <w:lang w:val="zh-CN" w:eastAsia="zh-CN"/>
        </w:rPr>
      </w:pPr>
      <w:r>
        <w:rPr>
          <w:rFonts w:hint="eastAsia"/>
          <w:lang w:val="en-US" w:eastAsia="zh-CN"/>
        </w:rPr>
        <w:t>2.</w:t>
      </w:r>
      <w:r>
        <w:rPr>
          <w:rFonts w:hint="eastAsia"/>
          <w:lang w:val="zh-CN" w:eastAsia="zh-CN"/>
        </w:rPr>
        <w:t>服务</w:t>
      </w:r>
      <w:r>
        <w:rPr>
          <w:rFonts w:hint="eastAsia"/>
          <w:lang w:val="zh-CN"/>
        </w:rPr>
        <w:t>内容</w:t>
      </w:r>
      <w:r>
        <w:rPr>
          <w:rFonts w:hint="eastAsia"/>
          <w:lang w:val="zh-CN" w:eastAsia="zh-CN"/>
        </w:rPr>
        <w:t>，包括但不限于服务内容、服务标准、服务期限、服务人员组成等要求</w:t>
      </w:r>
    </w:p>
    <w:p w14:paraId="315356B9">
      <w:pPr>
        <w:bidi w:val="0"/>
        <w:adjustRightInd w:val="0"/>
        <w:snapToGrid w:val="0"/>
        <w:spacing w:line="500" w:lineRule="exact"/>
        <w:ind w:firstLine="560" w:firstLineChars="200"/>
        <w:rPr>
          <w:rFonts w:hint="default" w:eastAsia="华文仿宋"/>
          <w:lang w:val="en-US" w:eastAsia="zh-CN"/>
        </w:rPr>
      </w:pPr>
      <w:r>
        <w:rPr>
          <w:rFonts w:hint="eastAsia" w:ascii="华文仿宋" w:hAnsi="华文仿宋" w:eastAsia="华文仿宋" w:cs="华文仿宋"/>
          <w:sz w:val="28"/>
          <w:szCs w:val="28"/>
        </w:rPr>
        <w:t>★</w:t>
      </w:r>
      <w:r>
        <w:rPr>
          <w:rFonts w:hint="eastAsia"/>
          <w:lang w:val="en-US" w:eastAsia="zh-CN"/>
        </w:rPr>
        <w:t>3.人数要求：</w:t>
      </w:r>
      <w:r>
        <w:rPr>
          <w:rFonts w:hint="eastAsia" w:ascii="华文仿宋" w:hAnsi="华文仿宋" w:cs="华文仿宋"/>
        </w:rPr>
        <w:t>总人数不得少于</w:t>
      </w:r>
      <w:r>
        <w:rPr>
          <w:rFonts w:hint="eastAsia" w:ascii="华文仿宋" w:hAnsi="华文仿宋" w:cs="华文仿宋"/>
          <w:lang w:val="en-US" w:eastAsia="zh-CN"/>
        </w:rPr>
        <w:t>16</w:t>
      </w:r>
      <w:r>
        <w:rPr>
          <w:rFonts w:hint="eastAsia" w:ascii="华文仿宋" w:hAnsi="华文仿宋" w:cs="华文仿宋"/>
        </w:rPr>
        <w:t>人</w:t>
      </w:r>
      <w:r>
        <w:rPr>
          <w:rFonts w:hint="eastAsia" w:ascii="华文仿宋" w:hAnsi="华文仿宋" w:cs="华文仿宋"/>
          <w:sz w:val="28"/>
          <w:szCs w:val="28"/>
          <w:lang w:eastAsia="zh-CN"/>
        </w:rPr>
        <w:t>，其中保洁人员</w:t>
      </w:r>
      <w:r>
        <w:rPr>
          <w:rFonts w:hint="eastAsia" w:ascii="华文仿宋" w:hAnsi="华文仿宋" w:cs="华文仿宋"/>
          <w:sz w:val="28"/>
          <w:szCs w:val="28"/>
          <w:lang w:val="en-US" w:eastAsia="zh-CN"/>
        </w:rPr>
        <w:t>10人，保安人员6人。</w:t>
      </w:r>
    </w:p>
    <w:p w14:paraId="59599C4B">
      <w:pPr>
        <w:spacing w:beforeLines="0" w:line="500" w:lineRule="exact"/>
        <w:rPr>
          <w:rFonts w:hint="eastAsia"/>
          <w:lang w:val="zh-CN" w:eastAsia="zh-CN"/>
        </w:rPr>
      </w:pPr>
      <w:r>
        <w:rPr>
          <w:rFonts w:hint="eastAsia"/>
          <w:lang w:val="zh-CN" w:eastAsia="zh-CN"/>
        </w:rPr>
        <w:t xml:space="preserve">   （一）环境卫生                                                    </w:t>
      </w:r>
    </w:p>
    <w:p w14:paraId="14469D8D">
      <w:pPr>
        <w:spacing w:beforeLines="0" w:line="500" w:lineRule="exact"/>
        <w:rPr>
          <w:rFonts w:hint="eastAsia"/>
          <w:lang w:val="zh-CN" w:eastAsia="zh-CN"/>
        </w:rPr>
      </w:pPr>
      <w:r>
        <w:rPr>
          <w:rFonts w:hint="eastAsia"/>
          <w:lang w:val="zh-CN" w:eastAsia="zh-CN"/>
        </w:rPr>
        <w:t xml:space="preserve">    1.服务内容：办公楼（区）内楼梯、大厅、走廊、会议室、协议室、卫生间、接待场所、公共活动场所等所有公共部位，办公区域道路、停车场（库）等所有公共场地的日常清洁保养，垃圾等废弃物清理等。</w:t>
      </w:r>
    </w:p>
    <w:p w14:paraId="0A79D878">
      <w:pPr>
        <w:spacing w:beforeLines="0" w:line="500" w:lineRule="exact"/>
        <w:rPr>
          <w:rFonts w:hint="eastAsia"/>
          <w:lang w:val="zh-CN" w:eastAsia="zh-CN"/>
        </w:rPr>
      </w:pPr>
      <w:r>
        <w:rPr>
          <w:rFonts w:hint="eastAsia"/>
          <w:lang w:val="zh-CN" w:eastAsia="zh-CN"/>
        </w:rPr>
        <w:t xml:space="preserve">    2.服务标准：                                                     </w:t>
      </w:r>
    </w:p>
    <w:p w14:paraId="32DAA557">
      <w:pPr>
        <w:spacing w:beforeLines="0" w:line="500" w:lineRule="exact"/>
        <w:rPr>
          <w:rFonts w:hint="eastAsia"/>
          <w:lang w:val="zh-CN" w:eastAsia="zh-CN"/>
        </w:rPr>
      </w:pPr>
      <w:r>
        <w:rPr>
          <w:rFonts w:hint="eastAsia"/>
          <w:lang w:val="zh-CN" w:eastAsia="zh-CN"/>
        </w:rPr>
        <w:t xml:space="preserve">    建立环境卫生管理制度，环卫设施齐备；实行标准化清扫保洁，大楼每层卫生间悬挂卫生清扫日志，由保洁值班人员填写，专人负责检查监督，清洁率100%，将检查报告于每月５日前送局办公室查阅。</w:t>
      </w:r>
    </w:p>
    <w:p w14:paraId="550E67DC">
      <w:pPr>
        <w:spacing w:beforeLines="0" w:line="500" w:lineRule="exact"/>
        <w:rPr>
          <w:rFonts w:hint="eastAsia"/>
          <w:lang w:val="zh-CN" w:eastAsia="zh-CN"/>
        </w:rPr>
      </w:pPr>
      <w:r>
        <w:rPr>
          <w:rFonts w:hint="eastAsia"/>
          <w:lang w:val="zh-CN" w:eastAsia="zh-CN"/>
        </w:rPr>
        <w:t xml:space="preserve">    3.具体区域标准：                                                   </w:t>
      </w:r>
    </w:p>
    <w:p w14:paraId="0B8011F9">
      <w:pPr>
        <w:spacing w:beforeLines="0" w:line="500" w:lineRule="exact"/>
        <w:rPr>
          <w:rFonts w:hint="eastAsia"/>
          <w:lang w:val="zh-CN" w:eastAsia="zh-CN"/>
        </w:rPr>
      </w:pPr>
      <w:r>
        <w:rPr>
          <w:rFonts w:hint="eastAsia"/>
          <w:lang w:val="zh-CN" w:eastAsia="zh-CN"/>
        </w:rPr>
        <w:t xml:space="preserve">    （1）局机关楼外围及周边（大院除外）道路地面干净无杂物、无积水，无显污迹、油渍；明沟、窨井内无杂物、无异味，每年至少一次打开窨井盖通风并对窨井内管道进行维护保养；无杂物堆积；各种标示标牌表面干净无积尘、无水印；伸缩门表面干净无积尘。候选车停放处干净整洁，车辆摆放整齐。</w:t>
      </w:r>
    </w:p>
    <w:p w14:paraId="56535C4F">
      <w:pPr>
        <w:spacing w:beforeLines="0" w:line="500" w:lineRule="exact"/>
        <w:rPr>
          <w:rFonts w:hint="eastAsia"/>
          <w:lang w:val="zh-CN" w:eastAsia="zh-CN"/>
        </w:rPr>
      </w:pPr>
      <w:r>
        <w:rPr>
          <w:rFonts w:hint="eastAsia"/>
          <w:lang w:val="zh-CN" w:eastAsia="zh-CN"/>
        </w:rPr>
        <w:t xml:space="preserve">    （2）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空调干净，无污迹，进出口地垫摆放整齐，表面干净无杂物，盆栽植物无积尘。</w:t>
      </w:r>
    </w:p>
    <w:p w14:paraId="6090A15A">
      <w:pPr>
        <w:spacing w:beforeLines="0" w:line="500" w:lineRule="exact"/>
        <w:rPr>
          <w:rFonts w:hint="eastAsia"/>
          <w:lang w:val="zh-CN" w:eastAsia="zh-CN"/>
        </w:rPr>
      </w:pPr>
      <w:r>
        <w:rPr>
          <w:rFonts w:hint="eastAsia"/>
          <w:lang w:val="zh-CN" w:eastAsia="zh-CN"/>
        </w:rPr>
        <w:t xml:space="preserve">    （3）大厅、会议室、接待室地面、墙面、干净，无灰尘、污渍；天花板、风口目视无灰尘、污渍；桌椅干净，物品摆放整齐、有序。</w:t>
      </w:r>
    </w:p>
    <w:p w14:paraId="7D4A946D">
      <w:pPr>
        <w:spacing w:beforeLines="0" w:line="500" w:lineRule="exact"/>
        <w:rPr>
          <w:rFonts w:hint="eastAsia"/>
          <w:lang w:val="zh-CN" w:eastAsia="zh-CN"/>
        </w:rPr>
      </w:pPr>
      <w:r>
        <w:rPr>
          <w:rFonts w:hint="eastAsia"/>
          <w:lang w:val="zh-CN" w:eastAsia="zh-CN"/>
        </w:rPr>
        <w:t xml:space="preserve">    （4）楼梯表面干净无污渍，防滑条（缝）干净，扶手栏杆表面干净无灰尘，防火门及闭门器表面干净无污渍，墙面、天花板无积尘、蛛网。</w:t>
      </w:r>
    </w:p>
    <w:p w14:paraId="0CA26D6B">
      <w:pPr>
        <w:spacing w:beforeLines="0" w:line="500" w:lineRule="exact"/>
        <w:rPr>
          <w:rFonts w:hint="eastAsia"/>
          <w:lang w:val="zh-CN" w:eastAsia="zh-CN"/>
        </w:rPr>
      </w:pPr>
      <w:r>
        <w:rPr>
          <w:rFonts w:hint="eastAsia"/>
          <w:lang w:val="zh-CN" w:eastAsia="zh-CN"/>
        </w:rPr>
        <w:t xml:space="preserve">    （5）公共卫生间地面干净，无污渍、无积水，大小便器表面干净，无污渍，有光泽，卫生间必须保证一日三次打扫；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w:t>
      </w:r>
    </w:p>
    <w:p w14:paraId="783403BF">
      <w:pPr>
        <w:spacing w:beforeLines="0" w:line="500" w:lineRule="exact"/>
        <w:rPr>
          <w:rFonts w:hint="eastAsia"/>
          <w:lang w:val="zh-CN" w:eastAsia="zh-CN"/>
        </w:rPr>
      </w:pPr>
      <w:r>
        <w:rPr>
          <w:rFonts w:hint="eastAsia"/>
          <w:lang w:val="zh-CN" w:eastAsia="zh-CN"/>
        </w:rPr>
        <w:t xml:space="preserve">    （6）停车场地面干净，无杂物，无明显油渍、污渍；墙面干净无积尘，各种指示牌表面干净有光泽；消防器材表面干净，摆放整齐；减速带表面干净无明显污迹，各种道闸表面无灰尘。</w:t>
      </w:r>
    </w:p>
    <w:p w14:paraId="5E91C762">
      <w:pPr>
        <w:spacing w:beforeLines="0" w:line="500" w:lineRule="exact"/>
        <w:rPr>
          <w:rFonts w:hint="eastAsia"/>
          <w:lang w:val="zh-CN" w:eastAsia="zh-CN"/>
        </w:rPr>
      </w:pPr>
      <w:r>
        <w:rPr>
          <w:rFonts w:hint="eastAsia"/>
          <w:lang w:val="zh-CN" w:eastAsia="zh-CN"/>
        </w:rPr>
        <w:t xml:space="preserve">    （7）电器设施、灯泡、灯管、灯罩无积尘、无污迹。装饰件无积尘、无污迹；开关、插座、配电箱无积尘、无明显污迹。</w:t>
      </w:r>
    </w:p>
    <w:p w14:paraId="0EA4A51D">
      <w:pPr>
        <w:spacing w:beforeLines="0" w:line="500" w:lineRule="exact"/>
        <w:rPr>
          <w:rFonts w:hint="eastAsia"/>
          <w:lang w:val="zh-CN" w:eastAsia="zh-CN"/>
        </w:rPr>
      </w:pPr>
      <w:r>
        <w:rPr>
          <w:rFonts w:hint="eastAsia"/>
          <w:lang w:val="zh-CN" w:eastAsia="zh-CN"/>
        </w:rPr>
        <w:t xml:space="preserve">    （8）垃圾桶及果皮箱桶、箱按指定位置摆放，桶身表面干净无污渍无痰迹，垃圾不应超过2/3，内胆应定期清洁、消毒。</w:t>
      </w:r>
    </w:p>
    <w:p w14:paraId="531BC655">
      <w:pPr>
        <w:spacing w:beforeLines="0" w:line="500" w:lineRule="exact"/>
        <w:rPr>
          <w:rFonts w:hint="eastAsia"/>
          <w:lang w:val="zh-CN" w:eastAsia="zh-CN"/>
        </w:rPr>
      </w:pPr>
      <w:r>
        <w:rPr>
          <w:rFonts w:hint="eastAsia"/>
          <w:lang w:val="zh-CN" w:eastAsia="zh-CN"/>
        </w:rPr>
        <w:t xml:space="preserve">    （9）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D6245E3">
      <w:pPr>
        <w:spacing w:beforeLines="0" w:line="500" w:lineRule="exact"/>
        <w:rPr>
          <w:rFonts w:hint="eastAsia"/>
          <w:lang w:val="zh-CN" w:eastAsia="zh-CN"/>
        </w:rPr>
      </w:pPr>
      <w:r>
        <w:rPr>
          <w:rFonts w:hint="eastAsia"/>
          <w:lang w:val="zh-CN" w:eastAsia="zh-CN"/>
        </w:rPr>
        <w:t xml:space="preserve">    （10）各种垃圾必须运到指定位置，袋装垃圾摆放整齐，地面无明显垃圾，无污水外溢，房内应无明显异味，垃圾日产日清。</w:t>
      </w:r>
    </w:p>
    <w:p w14:paraId="5FAA8F24">
      <w:pPr>
        <w:spacing w:beforeLines="0" w:line="500" w:lineRule="exact"/>
        <w:rPr>
          <w:rFonts w:hint="eastAsia"/>
          <w:lang w:val="zh-CN" w:eastAsia="zh-CN"/>
        </w:rPr>
      </w:pPr>
      <w:r>
        <w:rPr>
          <w:rFonts w:hint="eastAsia"/>
          <w:lang w:val="zh-CN" w:eastAsia="zh-CN"/>
        </w:rPr>
        <w:t xml:space="preserve">    （11）设备机房、管道无卫生死角、无垃圾堆积，无积尘、无明显污渍、无水渍；指示牌、广告牌无灰尘、无污迹，金属件表面光亮，无痕迹。</w:t>
      </w:r>
    </w:p>
    <w:p w14:paraId="7DFBFE05">
      <w:pPr>
        <w:spacing w:beforeLines="0" w:line="500" w:lineRule="exact"/>
        <w:rPr>
          <w:rFonts w:hint="eastAsia"/>
          <w:lang w:val="zh-CN" w:eastAsia="zh-CN"/>
        </w:rPr>
      </w:pPr>
      <w:r>
        <w:rPr>
          <w:rFonts w:hint="eastAsia"/>
          <w:lang w:val="zh-CN" w:eastAsia="zh-CN"/>
        </w:rPr>
        <w:t xml:space="preserve">    （二）绿化管理 </w:t>
      </w:r>
    </w:p>
    <w:p w14:paraId="002097D0">
      <w:pPr>
        <w:spacing w:beforeLines="0" w:line="500" w:lineRule="exact"/>
        <w:rPr>
          <w:rFonts w:hint="eastAsia"/>
          <w:lang w:val="zh-CN" w:eastAsia="zh-CN"/>
        </w:rPr>
      </w:pPr>
      <w:r>
        <w:rPr>
          <w:rFonts w:hint="eastAsia"/>
          <w:lang w:val="zh-CN" w:eastAsia="zh-CN"/>
        </w:rPr>
        <w:t xml:space="preserve">    绿化服务是指对办公室、公共走廊、休息大厅的摆花、室外树木、花草、绿地等的日常养护管理，能完成所需绿化植物的补种、移植、培育等工作。 </w:t>
      </w:r>
    </w:p>
    <w:p w14:paraId="5956FF09">
      <w:pPr>
        <w:spacing w:beforeLines="0" w:line="500" w:lineRule="exact"/>
        <w:rPr>
          <w:rFonts w:hint="eastAsia"/>
          <w:lang w:val="zh-CN" w:eastAsia="zh-CN"/>
        </w:rPr>
      </w:pPr>
      <w:r>
        <w:rPr>
          <w:rFonts w:hint="eastAsia"/>
          <w:lang w:val="zh-CN" w:eastAsia="zh-CN"/>
        </w:rPr>
        <w:t xml:space="preserve">    1.服务内容：公共区域、办公楼内外的树木、花草、绿地等的日常养护和管理等。</w:t>
      </w:r>
    </w:p>
    <w:p w14:paraId="6E19E148">
      <w:pPr>
        <w:spacing w:beforeLines="0" w:line="500" w:lineRule="exact"/>
        <w:rPr>
          <w:rFonts w:hint="eastAsia"/>
          <w:lang w:val="zh-CN" w:eastAsia="zh-CN"/>
        </w:rPr>
      </w:pPr>
      <w:r>
        <w:rPr>
          <w:rFonts w:hint="eastAsia"/>
          <w:lang w:val="zh-CN" w:eastAsia="zh-CN"/>
        </w:rPr>
        <w:t xml:space="preserve">    2.服务标准：</w:t>
      </w:r>
    </w:p>
    <w:p w14:paraId="6F6C469A">
      <w:pPr>
        <w:spacing w:beforeLines="0" w:line="500" w:lineRule="exact"/>
        <w:rPr>
          <w:rFonts w:hint="eastAsia"/>
          <w:lang w:val="zh-CN" w:eastAsia="zh-CN"/>
        </w:rPr>
      </w:pPr>
      <w:r>
        <w:rPr>
          <w:rFonts w:hint="eastAsia"/>
          <w:lang w:val="zh-CN" w:eastAsia="zh-CN"/>
        </w:rPr>
        <w:t xml:space="preserve">    定期为楼内花卉和楼外绿化树木浇水，保证办公室内和走廊的花卉生长茂盛、叶面清洁、干净，植物摆设讲究装饰性与组合搭配合理、契合空间、美丽大方。室外绿化养护应达到绿地及花坛内各种植物存活率100％。</w:t>
      </w:r>
    </w:p>
    <w:p w14:paraId="25D3733B">
      <w:pPr>
        <w:spacing w:beforeLines="0" w:line="500" w:lineRule="exact"/>
        <w:rPr>
          <w:rFonts w:hint="eastAsia"/>
          <w:lang w:val="zh-CN" w:eastAsia="zh-CN"/>
        </w:rPr>
      </w:pPr>
      <w:r>
        <w:rPr>
          <w:rFonts w:hint="eastAsia"/>
          <w:lang w:val="zh-CN" w:eastAsia="zh-CN"/>
        </w:rPr>
        <w:t xml:space="preserve">    （三）家属院环境卫生</w:t>
      </w:r>
    </w:p>
    <w:p w14:paraId="1A52160A">
      <w:pPr>
        <w:spacing w:beforeLines="0" w:line="500" w:lineRule="exact"/>
        <w:rPr>
          <w:rFonts w:hint="eastAsia"/>
          <w:lang w:val="zh-CN" w:eastAsia="zh-CN"/>
        </w:rPr>
      </w:pPr>
      <w:r>
        <w:rPr>
          <w:rFonts w:hint="eastAsia"/>
          <w:lang w:val="zh-CN" w:eastAsia="zh-CN"/>
        </w:rPr>
        <w:t xml:space="preserve">    1.服务内容：家属院楼梯、院内、走廊、卫生间、老干部活动室、公共活动场所等所有公共部位，所有公共场地的日常清洁保养，垃圾等废弃物清理等。</w:t>
      </w:r>
    </w:p>
    <w:p w14:paraId="32BB3588">
      <w:pPr>
        <w:spacing w:beforeLines="0" w:line="500" w:lineRule="exact"/>
        <w:rPr>
          <w:rFonts w:hint="eastAsia"/>
          <w:lang w:val="zh-CN" w:eastAsia="zh-CN"/>
        </w:rPr>
      </w:pPr>
      <w:r>
        <w:rPr>
          <w:rFonts w:hint="eastAsia"/>
          <w:lang w:val="zh-CN" w:eastAsia="zh-CN"/>
        </w:rPr>
        <w:t xml:space="preserve">    2.服务标准： </w:t>
      </w:r>
    </w:p>
    <w:p w14:paraId="577A993C">
      <w:pPr>
        <w:spacing w:beforeLines="0" w:line="500" w:lineRule="exact"/>
        <w:rPr>
          <w:rFonts w:hint="eastAsia"/>
          <w:lang w:val="zh-CN" w:eastAsia="zh-CN"/>
        </w:rPr>
      </w:pPr>
      <w:r>
        <w:rPr>
          <w:rFonts w:hint="eastAsia"/>
          <w:lang w:val="zh-CN" w:eastAsia="zh-CN"/>
        </w:rPr>
        <w:t xml:space="preserve">    （1）建立环境卫生管理制度，环卫设施齐备；实行标准化清扫保洁，专人负责检查监督，清洁率100%，将检查报告于每月５日前送局办公室查阅。</w:t>
      </w:r>
    </w:p>
    <w:p w14:paraId="75C7EC5E">
      <w:pPr>
        <w:spacing w:beforeLines="0" w:line="500" w:lineRule="exact"/>
        <w:rPr>
          <w:rFonts w:hint="eastAsia"/>
          <w:lang w:val="zh-CN" w:eastAsia="zh-CN"/>
        </w:rPr>
      </w:pPr>
      <w:r>
        <w:rPr>
          <w:rFonts w:hint="eastAsia"/>
          <w:lang w:val="zh-CN" w:eastAsia="zh-CN"/>
        </w:rPr>
        <w:t xml:space="preserve">    （2）具体区域标准：</w:t>
      </w:r>
    </w:p>
    <w:p w14:paraId="5695E79D">
      <w:pPr>
        <w:spacing w:beforeLines="0" w:line="500" w:lineRule="exact"/>
        <w:rPr>
          <w:rFonts w:hint="eastAsia"/>
          <w:lang w:val="zh-CN" w:eastAsia="zh-CN"/>
        </w:rPr>
      </w:pPr>
      <w:r>
        <w:rPr>
          <w:rFonts w:hint="eastAsia"/>
          <w:lang w:val="zh-CN" w:eastAsia="zh-CN"/>
        </w:rPr>
        <w:t xml:space="preserve">    楼内外围及周边地面干净无杂物、无积水，无显污迹、油渍；明沟、窨井内无杂物、无异味，无杂物堆积；各种标示标牌表面干净无积尘、无水印。</w:t>
      </w:r>
    </w:p>
    <w:p w14:paraId="2DD9E537">
      <w:pPr>
        <w:spacing w:beforeLines="0" w:line="500" w:lineRule="exact"/>
        <w:rPr>
          <w:rFonts w:hint="eastAsia"/>
          <w:lang w:val="zh-CN" w:eastAsia="zh-CN"/>
        </w:rPr>
      </w:pPr>
      <w:r>
        <w:rPr>
          <w:rFonts w:hint="eastAsia"/>
          <w:lang w:val="zh-CN" w:eastAsia="zh-CN"/>
        </w:rPr>
        <w:t xml:space="preserve">    （3）大门框、窗框、窗台、金属件表面光亮、无灰尘、无污渍；门窗玻璃干净无尘，透光性好，无明显印迹；各种金属件表面干净，无污渍，有金属光泽；门把手干净、无印迹、定时消毒；天花板干净，无污渍、无蛛网；</w:t>
      </w:r>
    </w:p>
    <w:p w14:paraId="708CA52D">
      <w:pPr>
        <w:spacing w:beforeLines="0" w:line="500" w:lineRule="exact"/>
        <w:rPr>
          <w:rFonts w:hint="eastAsia"/>
          <w:lang w:val="zh-CN" w:eastAsia="zh-CN"/>
        </w:rPr>
      </w:pPr>
      <w:r>
        <w:rPr>
          <w:rFonts w:hint="eastAsia"/>
          <w:lang w:val="zh-CN" w:eastAsia="zh-CN"/>
        </w:rPr>
        <w:t xml:space="preserve">    （4）电梯表面干净无污渍，防滑条（缝）干净，扶手栏杆表面干净无灰尘，防火门及闭门器表面干净无污渍，墙面、天花板无积尘、蛛网。</w:t>
      </w:r>
    </w:p>
    <w:p w14:paraId="07C47F30">
      <w:pPr>
        <w:spacing w:beforeLines="0" w:line="500" w:lineRule="exact"/>
        <w:rPr>
          <w:rFonts w:hint="eastAsia"/>
          <w:lang w:val="zh-CN" w:eastAsia="zh-CN"/>
        </w:rPr>
      </w:pPr>
      <w:r>
        <w:rPr>
          <w:rFonts w:hint="eastAsia"/>
          <w:lang w:val="zh-CN" w:eastAsia="zh-CN"/>
        </w:rPr>
        <w:t xml:space="preserve">    （5）公共卫生间地面干净，无污渍、无积水，大小便器表面干净，无污渍，有光泽，卫生间必须保证一日一次打扫；各种隔断表面干净，无乱写乱画，金属饰件表面干净，无污迹，有金属光泽；墙壁表面干净，天花板无污渍、蛛网；风口或换气扇表面干净无积尘；门窗表面干净，窗台无灰尘；玻璃干净。</w:t>
      </w:r>
    </w:p>
    <w:p w14:paraId="09D4A7EC">
      <w:pPr>
        <w:spacing w:beforeLines="0" w:line="500" w:lineRule="exact"/>
        <w:rPr>
          <w:rFonts w:hint="eastAsia"/>
          <w:lang w:val="zh-CN" w:eastAsia="zh-CN"/>
        </w:rPr>
      </w:pPr>
      <w:r>
        <w:rPr>
          <w:rFonts w:hint="eastAsia"/>
          <w:lang w:val="zh-CN" w:eastAsia="zh-CN"/>
        </w:rPr>
        <w:t xml:space="preserve">    （6）无水渍；洗手台干净无积水，面盆无污垢；各种管道表面干净无污渍；各种物品摆放整齐规范；废纸篓杂物超过2/3应及时倾倒，卫生间内空气流通并且无明显异味。</w:t>
      </w:r>
    </w:p>
    <w:p w14:paraId="46C76DBA">
      <w:pPr>
        <w:spacing w:beforeLines="0" w:line="500" w:lineRule="exact"/>
        <w:rPr>
          <w:rFonts w:hint="eastAsia"/>
          <w:lang w:val="zh-CN" w:eastAsia="zh-CN"/>
        </w:rPr>
      </w:pPr>
      <w:r>
        <w:rPr>
          <w:rFonts w:hint="eastAsia"/>
          <w:lang w:val="zh-CN" w:eastAsia="zh-CN"/>
        </w:rPr>
        <w:t xml:space="preserve">    （7）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64165492">
      <w:pPr>
        <w:spacing w:beforeLines="0" w:line="500" w:lineRule="exact"/>
        <w:rPr>
          <w:rFonts w:hint="eastAsia"/>
          <w:lang w:val="zh-CN" w:eastAsia="zh-CN"/>
        </w:rPr>
      </w:pPr>
      <w:r>
        <w:rPr>
          <w:rFonts w:hint="eastAsia"/>
          <w:lang w:val="zh-CN" w:eastAsia="zh-CN"/>
        </w:rPr>
        <w:t xml:space="preserve">    （8）各种垃圾必须运到指定位置，袋装垃圾摆放整齐，地面无明显垃圾，无污水外溢，房内应无明显异味，垃圾日产日清。</w:t>
      </w:r>
    </w:p>
    <w:p w14:paraId="6ADB3599">
      <w:pPr>
        <w:spacing w:beforeLines="0" w:line="500" w:lineRule="exact"/>
        <w:rPr>
          <w:rFonts w:hint="eastAsia"/>
          <w:lang w:val="zh-CN" w:eastAsia="zh-CN"/>
        </w:rPr>
      </w:pPr>
      <w:r>
        <w:rPr>
          <w:rFonts w:hint="eastAsia"/>
          <w:lang w:val="zh-CN" w:eastAsia="zh-CN"/>
        </w:rPr>
        <w:t xml:space="preserve">    （9）设备机房、管道无卫生死角、无垃圾堆积，无积尘、无明显污渍、无水渍；指示牌、广告牌无灰尘、无污迹，金属件表面光亮，无痕迹。</w:t>
      </w:r>
    </w:p>
    <w:p w14:paraId="5C4310C1">
      <w:pPr>
        <w:spacing w:beforeLines="0" w:line="500" w:lineRule="exact"/>
        <w:rPr>
          <w:rFonts w:hint="eastAsia"/>
          <w:lang w:val="zh-CN" w:eastAsia="zh-CN"/>
        </w:rPr>
      </w:pPr>
      <w:r>
        <w:rPr>
          <w:rFonts w:hint="eastAsia"/>
          <w:lang w:val="zh-CN" w:eastAsia="zh-CN"/>
        </w:rPr>
        <w:t xml:space="preserve">    （四）保安服务项目</w:t>
      </w:r>
    </w:p>
    <w:p w14:paraId="763ECB6E">
      <w:pPr>
        <w:spacing w:beforeLines="0" w:line="500" w:lineRule="exact"/>
        <w:rPr>
          <w:rFonts w:hint="eastAsia"/>
          <w:lang w:val="zh-CN" w:eastAsia="zh-CN"/>
        </w:rPr>
      </w:pPr>
      <w:r>
        <w:rPr>
          <w:rFonts w:hint="eastAsia"/>
          <w:lang w:val="zh-CN" w:eastAsia="zh-CN"/>
        </w:rPr>
        <w:t xml:space="preserve">    1.按照陕西省信访局规定和要求，结合局安全保卫的实际情况，制定切实可行的安全保卫工作整体方案，开展专业化的安全防范业务，具体管理事项如下：局大门的24小时门卫管理，负责门口周边的车辆指挥和院内停车场车辆停放;</w:t>
      </w:r>
    </w:p>
    <w:p w14:paraId="5BBEF873">
      <w:pPr>
        <w:spacing w:beforeLines="0" w:line="500" w:lineRule="exact"/>
        <w:rPr>
          <w:rFonts w:hint="eastAsia"/>
          <w:lang w:val="zh-CN" w:eastAsia="zh-CN"/>
        </w:rPr>
      </w:pPr>
      <w:r>
        <w:rPr>
          <w:rFonts w:hint="eastAsia"/>
          <w:lang w:val="zh-CN" w:eastAsia="zh-CN"/>
        </w:rPr>
        <w:t xml:space="preserve">    2.局机关内、外定时、定点治安巡逻查检，重点部位的定点守护；</w:t>
      </w:r>
    </w:p>
    <w:p w14:paraId="606D4BBD">
      <w:pPr>
        <w:spacing w:beforeLines="0" w:line="500" w:lineRule="exact"/>
        <w:rPr>
          <w:rFonts w:hint="eastAsia"/>
          <w:lang w:val="zh-CN" w:eastAsia="zh-CN"/>
        </w:rPr>
      </w:pPr>
      <w:r>
        <w:rPr>
          <w:rFonts w:hint="eastAsia"/>
          <w:lang w:val="zh-CN" w:eastAsia="zh-CN"/>
        </w:rPr>
        <w:t xml:space="preserve">    3.下午下班后局机关楼内巡逻查检;</w:t>
      </w:r>
    </w:p>
    <w:p w14:paraId="149C8399">
      <w:pPr>
        <w:spacing w:beforeLines="0" w:line="500" w:lineRule="exact"/>
        <w:rPr>
          <w:rFonts w:hint="eastAsia"/>
          <w:lang w:val="zh-CN" w:eastAsia="zh-CN"/>
        </w:rPr>
      </w:pPr>
      <w:r>
        <w:rPr>
          <w:rFonts w:hint="eastAsia"/>
          <w:lang w:val="zh-CN" w:eastAsia="zh-CN"/>
        </w:rPr>
        <w:t xml:space="preserve">    4.重大活动的安全警戒与秩序保障;</w:t>
      </w:r>
    </w:p>
    <w:p w14:paraId="401458A4">
      <w:pPr>
        <w:spacing w:beforeLines="0" w:line="500" w:lineRule="exact"/>
        <w:rPr>
          <w:rFonts w:hint="eastAsia"/>
          <w:lang w:val="zh-CN" w:eastAsia="zh-CN"/>
        </w:rPr>
      </w:pPr>
      <w:r>
        <w:rPr>
          <w:rFonts w:hint="eastAsia"/>
          <w:lang w:val="zh-CN" w:eastAsia="zh-CN"/>
        </w:rPr>
        <w:t xml:space="preserve">    5.突发事件处置、灾害预防、火灾扑救;</w:t>
      </w:r>
    </w:p>
    <w:p w14:paraId="36D3DD50">
      <w:pPr>
        <w:spacing w:beforeLines="0" w:line="500" w:lineRule="exact"/>
        <w:rPr>
          <w:rFonts w:hint="eastAsia"/>
          <w:lang w:val="zh-CN" w:eastAsia="zh-CN"/>
        </w:rPr>
      </w:pPr>
      <w:r>
        <w:rPr>
          <w:rFonts w:hint="eastAsia"/>
          <w:lang w:val="zh-CN" w:eastAsia="zh-CN"/>
        </w:rPr>
        <w:t xml:space="preserve">    6.公共部位安全隐患检查、排除及上报;</w:t>
      </w:r>
    </w:p>
    <w:p w14:paraId="4A5364C5">
      <w:pPr>
        <w:spacing w:beforeLines="0" w:line="500" w:lineRule="exact"/>
        <w:rPr>
          <w:rFonts w:hint="eastAsia"/>
          <w:lang w:val="zh-CN" w:eastAsia="zh-CN"/>
        </w:rPr>
      </w:pPr>
      <w:r>
        <w:rPr>
          <w:rFonts w:hint="eastAsia"/>
          <w:lang w:val="zh-CN" w:eastAsia="zh-CN"/>
        </w:rPr>
        <w:t xml:space="preserve">    7.承担和提供的保安业务所使用的办公设备（如：桌椅、橱柜、电器等）、通讯工具、照明设施、警具等的维护，故意损坏、恶意使用或丢失的全额赔偿;</w:t>
      </w:r>
    </w:p>
    <w:p w14:paraId="5CAFF788">
      <w:pPr>
        <w:spacing w:beforeLines="0" w:line="500" w:lineRule="exact"/>
        <w:rPr>
          <w:rFonts w:hint="eastAsia"/>
          <w:lang w:val="zh-CN" w:eastAsia="zh-CN"/>
        </w:rPr>
      </w:pPr>
      <w:r>
        <w:rPr>
          <w:rFonts w:hint="eastAsia"/>
          <w:lang w:val="zh-CN" w:eastAsia="zh-CN"/>
        </w:rPr>
        <w:t xml:space="preserve">8.其它属于保安服务范围内的工作以及局办公室交办的临时性任务。   </w:t>
      </w:r>
    </w:p>
    <w:p w14:paraId="70F67A98">
      <w:pPr>
        <w:spacing w:beforeLines="0" w:line="500" w:lineRule="exact"/>
        <w:ind w:firstLine="560" w:firstLineChars="200"/>
        <w:rPr>
          <w:rFonts w:hint="eastAsia"/>
          <w:lang w:val="zh-CN" w:eastAsia="zh-CN"/>
        </w:rPr>
      </w:pPr>
      <w:r>
        <w:rPr>
          <w:rFonts w:hint="eastAsia"/>
          <w:lang w:val="zh-CN" w:eastAsia="zh-CN"/>
        </w:rPr>
        <w:t>（五）相关的要求</w:t>
      </w:r>
    </w:p>
    <w:p w14:paraId="6A01D5A8">
      <w:pPr>
        <w:spacing w:beforeLines="0" w:line="500" w:lineRule="exact"/>
        <w:ind w:firstLine="560" w:firstLineChars="200"/>
        <w:rPr>
          <w:rFonts w:hint="eastAsia"/>
          <w:lang w:val="zh-CN" w:eastAsia="zh-CN"/>
        </w:rPr>
      </w:pPr>
      <w:r>
        <w:rPr>
          <w:rFonts w:hint="eastAsia"/>
          <w:lang w:val="zh-CN" w:eastAsia="zh-CN"/>
        </w:rPr>
        <w:t>1.公司具有履行合同所必须的设施和服务能力。</w:t>
      </w:r>
    </w:p>
    <w:p w14:paraId="742CB309">
      <w:pPr>
        <w:spacing w:beforeLines="0" w:line="500" w:lineRule="exact"/>
        <w:ind w:firstLine="560" w:firstLineChars="200"/>
        <w:rPr>
          <w:rFonts w:hint="eastAsia"/>
          <w:lang w:val="zh-CN" w:eastAsia="zh-CN"/>
        </w:rPr>
      </w:pPr>
      <w:r>
        <w:rPr>
          <w:rFonts w:hint="eastAsia"/>
          <w:lang w:val="zh-CN" w:eastAsia="zh-CN"/>
        </w:rPr>
        <w:t>2.公司具有良好的商业信誉和健全的规章制度。</w:t>
      </w:r>
    </w:p>
    <w:p w14:paraId="1812F4F5">
      <w:pPr>
        <w:spacing w:beforeLines="0" w:line="500" w:lineRule="exact"/>
        <w:ind w:firstLine="560" w:firstLineChars="200"/>
        <w:rPr>
          <w:rFonts w:hint="eastAsia"/>
          <w:lang w:val="zh-CN" w:eastAsia="zh-CN"/>
        </w:rPr>
      </w:pPr>
      <w:r>
        <w:rPr>
          <w:rFonts w:hint="eastAsia"/>
          <w:lang w:val="zh-CN" w:eastAsia="zh-CN"/>
        </w:rPr>
        <w:t xml:space="preserve">3.公司具有专业培训部门，并有具体的培训考核机制。 </w:t>
      </w:r>
    </w:p>
    <w:p w14:paraId="4D51499D">
      <w:pPr>
        <w:spacing w:beforeLines="0" w:line="500" w:lineRule="exact"/>
        <w:ind w:firstLine="560" w:firstLineChars="200"/>
        <w:rPr>
          <w:rFonts w:hint="eastAsia"/>
          <w:lang w:val="zh-CN" w:eastAsia="zh-CN"/>
        </w:rPr>
      </w:pPr>
      <w:r>
        <w:rPr>
          <w:rFonts w:hint="eastAsia"/>
          <w:lang w:val="zh-CN" w:eastAsia="zh-CN"/>
        </w:rPr>
        <w:t>4.公司必须同局办公室密切联系，遇有重大事项要及时报告和反馈信息，充分尊重局办公室的意见，接受合理建议。</w:t>
      </w:r>
    </w:p>
    <w:p w14:paraId="71A755BB">
      <w:pPr>
        <w:spacing w:beforeLines="0" w:line="500" w:lineRule="exact"/>
        <w:ind w:firstLine="560" w:firstLineChars="200"/>
        <w:rPr>
          <w:rFonts w:hint="eastAsia"/>
          <w:lang w:val="zh-CN" w:eastAsia="zh-CN"/>
        </w:rPr>
      </w:pPr>
      <w:r>
        <w:rPr>
          <w:rFonts w:hint="eastAsia"/>
          <w:lang w:val="zh-CN" w:eastAsia="zh-CN"/>
        </w:rPr>
        <w:t>5.公司每月向局办公室上报员工花名册、工资支出明细表、五险一金和上税证明，便于对员工在岗人员变动情况进行监督管理。</w:t>
      </w:r>
    </w:p>
    <w:p w14:paraId="1705E66C">
      <w:pPr>
        <w:spacing w:beforeLines="0" w:line="500" w:lineRule="exact"/>
        <w:ind w:firstLine="560" w:firstLineChars="200"/>
        <w:rPr>
          <w:rFonts w:hint="eastAsia"/>
          <w:lang w:val="zh-CN" w:eastAsia="zh-CN"/>
        </w:rPr>
      </w:pPr>
      <w:r>
        <w:rPr>
          <w:rFonts w:hint="eastAsia"/>
          <w:lang w:val="zh-CN" w:eastAsia="zh-CN"/>
        </w:rPr>
        <w:t>6.公司要及时调整不适合在机关工作的员工，接到通知后２日内调整完毕。</w:t>
      </w:r>
    </w:p>
    <w:p w14:paraId="64D7EFFB">
      <w:pPr>
        <w:spacing w:beforeLines="0" w:line="500" w:lineRule="exact"/>
        <w:ind w:firstLine="560" w:firstLineChars="200"/>
        <w:rPr>
          <w:rFonts w:hint="eastAsia"/>
          <w:lang w:val="zh-CN" w:eastAsia="zh-CN"/>
        </w:rPr>
      </w:pPr>
      <w:r>
        <w:rPr>
          <w:rFonts w:hint="eastAsia"/>
          <w:lang w:val="zh-CN" w:eastAsia="zh-CN"/>
        </w:rPr>
        <w:t>7.公司要严格履行合同，如公司管理不善，连续三个月保安服务满意率低于80%，扣当月物业服务费5%。由公司管理不善导致给予局机关造成经济损失的，由</w:t>
      </w:r>
      <w:r>
        <w:rPr>
          <w:rFonts w:hint="eastAsia"/>
          <w:color w:val="000000" w:themeColor="text1"/>
          <w:highlight w:val="none"/>
          <w:lang w:val="zh-CN" w:eastAsia="zh-CN"/>
          <w14:textFill>
            <w14:solidFill>
              <w14:schemeClr w14:val="tx1"/>
            </w14:solidFill>
          </w14:textFill>
        </w:rPr>
        <w:t>公司负责赔偿</w:t>
      </w:r>
      <w:r>
        <w:rPr>
          <w:rFonts w:hint="eastAsia"/>
          <w:lang w:val="zh-CN" w:eastAsia="zh-CN"/>
        </w:rPr>
        <w:t>。员工个人原因给予局机关声誉造成重大影响和损失的，由公司承担责任赔偿。</w:t>
      </w:r>
    </w:p>
    <w:p w14:paraId="769837BC">
      <w:pPr>
        <w:spacing w:beforeLines="0" w:line="500" w:lineRule="exact"/>
        <w:ind w:firstLine="560" w:firstLineChars="200"/>
        <w:rPr>
          <w:rFonts w:hint="eastAsia"/>
          <w:lang w:val="zh-CN" w:eastAsia="zh-CN"/>
        </w:rPr>
      </w:pPr>
      <w:r>
        <w:rPr>
          <w:rFonts w:hint="eastAsia"/>
          <w:lang w:val="zh-CN" w:eastAsia="zh-CN"/>
        </w:rPr>
        <w:t>（六）对保安人员的要求</w:t>
      </w:r>
    </w:p>
    <w:p w14:paraId="2CE67989">
      <w:pPr>
        <w:spacing w:beforeLines="0" w:line="500" w:lineRule="exact"/>
        <w:ind w:firstLine="560" w:firstLineChars="200"/>
        <w:rPr>
          <w:rFonts w:hint="eastAsia"/>
          <w:lang w:val="zh-CN" w:eastAsia="zh-CN"/>
        </w:rPr>
      </w:pPr>
      <w:r>
        <w:rPr>
          <w:rFonts w:hint="eastAsia"/>
          <w:lang w:val="zh-CN" w:eastAsia="zh-CN"/>
        </w:rPr>
        <w:t>1.保安员需具有高中以上文化程度，35周岁以下（夜班岗45周岁以下），身高1.7米以上（门卫1.75米以上），裸眼视力1.0以上，身体健康，无违法犯罪记录。</w:t>
      </w:r>
    </w:p>
    <w:p w14:paraId="20935EC3">
      <w:pPr>
        <w:spacing w:beforeLines="0" w:line="500" w:lineRule="exact"/>
        <w:ind w:firstLine="560" w:firstLineChars="200"/>
        <w:rPr>
          <w:rFonts w:hint="eastAsia"/>
          <w:lang w:val="zh-CN" w:eastAsia="zh-CN"/>
        </w:rPr>
      </w:pPr>
      <w:r>
        <w:rPr>
          <w:rFonts w:hint="eastAsia"/>
          <w:lang w:val="zh-CN" w:eastAsia="zh-CN"/>
        </w:rPr>
        <w:t>2.保安员在工作中要着装整齐，仪表端正，态度和善，语气亲切，言辞得体，耐心解答问话，微笑迎送。</w:t>
      </w:r>
    </w:p>
    <w:p w14:paraId="0C921B31">
      <w:pPr>
        <w:spacing w:beforeLines="0" w:line="500" w:lineRule="exact"/>
        <w:ind w:firstLine="560" w:firstLineChars="200"/>
        <w:rPr>
          <w:rFonts w:hint="eastAsia"/>
          <w:lang w:val="zh-CN" w:eastAsia="zh-CN"/>
        </w:rPr>
      </w:pPr>
      <w:r>
        <w:rPr>
          <w:rFonts w:hint="eastAsia"/>
          <w:lang w:val="zh-CN" w:eastAsia="zh-CN"/>
        </w:rPr>
        <w:t>3.保安员要时刻遵守机关的有关规定，严格作息时间，提前15分钟到岗，准时上岗。</w:t>
      </w:r>
    </w:p>
    <w:p w14:paraId="66261089">
      <w:pPr>
        <w:spacing w:beforeLines="0" w:line="500" w:lineRule="exact"/>
        <w:ind w:firstLine="560" w:firstLineChars="200"/>
        <w:rPr>
          <w:rFonts w:hint="eastAsia"/>
          <w:lang w:val="zh-CN" w:eastAsia="zh-CN"/>
        </w:rPr>
      </w:pPr>
      <w:r>
        <w:rPr>
          <w:rFonts w:hint="eastAsia"/>
          <w:lang w:val="zh-CN" w:eastAsia="zh-CN"/>
        </w:rPr>
        <w:t>4.保安员在岗期间严禁饮酒、睡岗、脱岗、看书、看报、听广播、打扑克、上网聊天玩游戏。</w:t>
      </w:r>
    </w:p>
    <w:p w14:paraId="61F2390A">
      <w:pPr>
        <w:spacing w:beforeLines="0" w:line="500" w:lineRule="exact"/>
        <w:ind w:firstLine="560" w:firstLineChars="200"/>
        <w:rPr>
          <w:rFonts w:hint="eastAsia"/>
          <w:lang w:val="zh-CN" w:eastAsia="zh-CN"/>
        </w:rPr>
      </w:pPr>
      <w:r>
        <w:rPr>
          <w:rFonts w:hint="eastAsia"/>
          <w:lang w:val="zh-CN" w:eastAsia="zh-CN"/>
        </w:rPr>
        <w:t>5.保安员要有消防安全基本素质和排除安全隐患的能力，熟悉了解机关大楼消防设施的重点部位和熟练使用消防器材。</w:t>
      </w:r>
    </w:p>
    <w:p w14:paraId="0954C8A4">
      <w:pPr>
        <w:spacing w:beforeLines="0" w:line="500" w:lineRule="exact"/>
        <w:ind w:firstLine="560" w:firstLineChars="200"/>
        <w:rPr>
          <w:rFonts w:hint="eastAsia"/>
          <w:lang w:val="zh-CN" w:eastAsia="zh-CN"/>
        </w:rPr>
      </w:pPr>
      <w:r>
        <w:rPr>
          <w:rFonts w:hint="eastAsia"/>
          <w:lang w:val="zh-CN" w:eastAsia="zh-CN"/>
        </w:rPr>
        <w:t>6.保安员禁止做与本职工作无关的事宜，不准向外人透露局机关的有关事情。遵守局机关规章制度和保密规定，维护局机关的合法权益和形象，不得借局名义做虚假和不实宣传，保守机关秘密。</w:t>
      </w:r>
    </w:p>
    <w:p w14:paraId="3AEBFF06">
      <w:pPr>
        <w:spacing w:beforeLines="0" w:line="500" w:lineRule="exact"/>
        <w:ind w:firstLine="560" w:firstLineChars="200"/>
        <w:rPr>
          <w:rFonts w:hint="eastAsia"/>
          <w:lang w:val="zh-CN" w:eastAsia="zh-CN"/>
        </w:rPr>
      </w:pPr>
      <w:r>
        <w:rPr>
          <w:rFonts w:hint="eastAsia"/>
          <w:lang w:val="zh-CN" w:eastAsia="zh-CN"/>
        </w:rPr>
        <w:t>7.保安员要熟悉局机关工作的特点，注重个人形象，保持环境卫生，以高度的责任感完成各自工作 。</w:t>
      </w:r>
    </w:p>
    <w:p w14:paraId="32357B93">
      <w:pPr>
        <w:spacing w:beforeLines="0" w:line="500" w:lineRule="exact"/>
        <w:ind w:firstLine="560" w:firstLineChars="200"/>
        <w:rPr>
          <w:rFonts w:hint="eastAsia"/>
          <w:lang w:val="zh-CN" w:eastAsia="zh-CN"/>
        </w:rPr>
      </w:pPr>
      <w:r>
        <w:rPr>
          <w:rFonts w:hint="eastAsia"/>
          <w:lang w:val="zh-CN" w:eastAsia="zh-CN"/>
        </w:rPr>
        <w:t>8.保安员对机关院内重点部位定时巡视检查，及时发现可疑人员和安全隐患，自觉维护机关良好办公秩序，确保机关院内无火灾事故和治安案件发生。</w:t>
      </w:r>
    </w:p>
    <w:p w14:paraId="3698B2BB">
      <w:pPr>
        <w:spacing w:beforeLines="0" w:line="500" w:lineRule="exact"/>
        <w:ind w:firstLine="560" w:firstLineChars="200"/>
        <w:rPr>
          <w:rFonts w:hint="eastAsia"/>
          <w:lang w:val="zh-CN" w:eastAsia="zh-CN"/>
        </w:rPr>
      </w:pPr>
      <w:r>
        <w:rPr>
          <w:rFonts w:hint="eastAsia" w:ascii="宋体" w:hAnsi="宋体" w:eastAsia="宋体" w:cs="宋体"/>
          <w:color w:val="auto"/>
          <w:sz w:val="28"/>
          <w:szCs w:val="28"/>
        </w:rPr>
        <w:t>▲</w:t>
      </w:r>
      <w:r>
        <w:rPr>
          <w:rFonts w:hint="eastAsia"/>
          <w:lang w:val="zh-CN" w:eastAsia="zh-CN"/>
        </w:rPr>
        <w:t>9.保安员要经过专业保安知识培训，持有健康证明方可上岗工作。</w:t>
      </w:r>
    </w:p>
    <w:p w14:paraId="6E38148E">
      <w:pPr>
        <w:spacing w:beforeLines="0" w:line="500" w:lineRule="exact"/>
        <w:ind w:firstLine="560" w:firstLineChars="200"/>
        <w:rPr>
          <w:rFonts w:hint="eastAsia"/>
          <w:lang w:val="zh-CN" w:eastAsia="zh-CN"/>
        </w:rPr>
      </w:pPr>
      <w:r>
        <w:rPr>
          <w:rFonts w:hint="eastAsia" w:ascii="宋体" w:hAnsi="宋体" w:eastAsia="宋体" w:cs="宋体"/>
          <w:color w:val="auto"/>
          <w:sz w:val="28"/>
          <w:szCs w:val="28"/>
        </w:rPr>
        <w:t>▲</w:t>
      </w:r>
      <w:r>
        <w:rPr>
          <w:rFonts w:hint="eastAsia"/>
          <w:lang w:val="zh-CN" w:eastAsia="zh-CN"/>
        </w:rPr>
        <w:t>10.保安员要穿着全国统一保安服装，佩带保安服务标志，持有符合公安部门规定的保安装备器材，装备器材要完好无损，保证日常正常使用。</w:t>
      </w:r>
    </w:p>
    <w:p w14:paraId="0D0888FA">
      <w:pPr>
        <w:spacing w:beforeLines="0" w:line="500" w:lineRule="exact"/>
        <w:ind w:firstLine="560" w:firstLineChars="200"/>
        <w:rPr>
          <w:rFonts w:hint="eastAsia" w:eastAsia="华文仿宋"/>
          <w:lang w:val="en-US" w:eastAsia="zh-CN"/>
        </w:rPr>
      </w:pPr>
      <w:r>
        <w:rPr>
          <w:rFonts w:hint="eastAsia" w:ascii="华文仿宋" w:hAnsi="华文仿宋" w:eastAsia="华文仿宋" w:cs="华文仿宋"/>
          <w:sz w:val="28"/>
          <w:szCs w:val="28"/>
        </w:rPr>
        <w:t>★</w:t>
      </w:r>
      <w:r>
        <w:rPr>
          <w:rFonts w:hint="eastAsia"/>
          <w:lang w:val="en-US" w:eastAsia="zh-CN"/>
        </w:rPr>
        <w:t>11.投标供应商需承诺拟投入保安员必须持本人保安员证上岗，上岗人员一人一证。</w:t>
      </w:r>
    </w:p>
    <w:p w14:paraId="4F60E07F">
      <w:pPr>
        <w:spacing w:beforeLines="0" w:line="500" w:lineRule="exact"/>
        <w:ind w:firstLine="560" w:firstLineChars="200"/>
        <w:rPr>
          <w:rFonts w:hint="eastAsia"/>
          <w:lang w:val="zh-CN" w:eastAsia="zh-CN"/>
        </w:rPr>
      </w:pPr>
      <w:r>
        <w:rPr>
          <w:rFonts w:hint="eastAsia"/>
          <w:lang w:val="zh-CN" w:eastAsia="zh-CN"/>
        </w:rPr>
        <w:t>（七）对保安员岗位职责及要求</w:t>
      </w:r>
    </w:p>
    <w:p w14:paraId="792C1884">
      <w:pPr>
        <w:spacing w:beforeLines="0" w:line="500" w:lineRule="exact"/>
        <w:ind w:firstLine="560" w:firstLineChars="200"/>
        <w:rPr>
          <w:rFonts w:hint="eastAsia"/>
          <w:lang w:val="zh-CN" w:eastAsia="zh-CN"/>
        </w:rPr>
      </w:pPr>
      <w:r>
        <w:rPr>
          <w:rFonts w:hint="eastAsia"/>
          <w:lang w:val="zh-CN" w:eastAsia="zh-CN"/>
        </w:rPr>
        <w:t>1.保安人员要忠于职守，尽职尽责，不得利用工作进行违纪、违法犯罪活动； 坚持文明礼貌执勤，严禁打人骂人，侵犯他人人身权利;不做有损机关形象的行为，熟悉消防、闭路电视监控和门禁等系统的操作与应用，熟练掌握消防器材的使用；积极主动维护大院内的治安交通秩序，做好“五防”（防盗、防火、防抢、防破坏、防治安灾害事故）工作。</w:t>
      </w:r>
    </w:p>
    <w:p w14:paraId="04898591">
      <w:pPr>
        <w:spacing w:beforeLines="0" w:line="500" w:lineRule="exact"/>
        <w:ind w:firstLine="560" w:firstLineChars="200"/>
        <w:rPr>
          <w:rFonts w:hint="eastAsia"/>
          <w:lang w:val="zh-CN" w:eastAsia="zh-CN"/>
        </w:rPr>
      </w:pPr>
      <w:r>
        <w:rPr>
          <w:rFonts w:hint="eastAsia"/>
          <w:lang w:val="zh-CN" w:eastAsia="zh-CN"/>
        </w:rPr>
        <w:t>2.门岗保安的职责</w:t>
      </w:r>
    </w:p>
    <w:p w14:paraId="2D0E89C4">
      <w:pPr>
        <w:spacing w:beforeLines="0" w:line="500" w:lineRule="exact"/>
        <w:ind w:firstLine="560" w:firstLineChars="200"/>
        <w:rPr>
          <w:rFonts w:hint="eastAsia"/>
          <w:lang w:val="zh-CN" w:eastAsia="zh-CN"/>
        </w:rPr>
      </w:pPr>
      <w:r>
        <w:rPr>
          <w:rFonts w:hint="eastAsia"/>
          <w:lang w:val="zh-CN" w:eastAsia="zh-CN"/>
        </w:rPr>
        <w:t>（1）大门设立24小时固定岗，上班时间早８时至下午18时，大门口设立站岗；一楼大厅门岗保安员要熟记局机关各处室办公地点，对外来办事人员主动询问，热情接待，认真做好登记，做好引导服务。下班后关闭好大门，控制人员进出。晚间值班保安员要坚守岗位，尽职尽责，认真核查晚上进入机关大楼人员，并做好登记工作。晚间值班人员要做好巡视检查。值班队长随时检查各岗位情况，要按照规定时间巡视检查，发现未关灯、未锁门的办公室及时向局值班室值班人员报告，由值班人员联系输电网员关灯、锁门。</w:t>
      </w:r>
    </w:p>
    <w:p w14:paraId="1A0E0123">
      <w:pPr>
        <w:spacing w:beforeLines="0" w:line="500" w:lineRule="exact"/>
        <w:ind w:firstLine="560" w:firstLineChars="200"/>
        <w:rPr>
          <w:rFonts w:hint="eastAsia"/>
          <w:lang w:val="zh-CN" w:eastAsia="zh-CN"/>
        </w:rPr>
      </w:pPr>
      <w:r>
        <w:rPr>
          <w:rFonts w:hint="eastAsia"/>
          <w:lang w:val="zh-CN" w:eastAsia="zh-CN"/>
        </w:rPr>
        <w:t>（2）值班员应文明执勤、礼貌待人，不允许与车主争吵，更不允许与车主辱骂斗殴。遇车主刁难或羞辱时，应保持冷静，克制自己的情绪，确实无法处理的事情，应迅速报告队长处理。对本局公务车辆，应引导停在固定车位，外来车辆一般不允许入内，确需进入机关院内的要经局办公室同意并做好登记。门岗保安应按规定对外来车辆和访客带出的物品进行检查、防止机关内公共物品和个人物品丢失。</w:t>
      </w:r>
    </w:p>
    <w:p w14:paraId="6240ECE8">
      <w:pPr>
        <w:spacing w:beforeLines="0" w:line="500" w:lineRule="exact"/>
        <w:ind w:firstLine="560" w:firstLineChars="200"/>
        <w:rPr>
          <w:rFonts w:hint="eastAsia"/>
          <w:lang w:val="zh-CN" w:eastAsia="zh-CN"/>
        </w:rPr>
      </w:pPr>
      <w:r>
        <w:rPr>
          <w:rFonts w:hint="eastAsia"/>
          <w:lang w:val="zh-CN" w:eastAsia="zh-CN"/>
        </w:rPr>
        <w:t>（3）凡装有易燃、易爆、剧毒物品或装有污染性物品的车辆，严禁驶入机关院内和不允许在局机关周围停放。</w:t>
      </w:r>
    </w:p>
    <w:p w14:paraId="72AD45A9">
      <w:pPr>
        <w:spacing w:beforeLines="0" w:line="500" w:lineRule="exact"/>
        <w:ind w:firstLine="560" w:firstLineChars="200"/>
        <w:rPr>
          <w:rFonts w:hint="eastAsia"/>
          <w:lang w:val="zh-CN" w:eastAsia="zh-CN"/>
        </w:rPr>
      </w:pPr>
      <w:r>
        <w:rPr>
          <w:rFonts w:hint="eastAsia"/>
          <w:lang w:val="zh-CN" w:eastAsia="zh-CN"/>
        </w:rPr>
        <w:t>（4）对驶出的面包车，箱式货车等，一律停车检查，如发现可疑物品应立即上报当班队长或局办公室进行处理。</w:t>
      </w:r>
    </w:p>
    <w:p w14:paraId="5D02C061">
      <w:pPr>
        <w:spacing w:beforeLines="0" w:line="500" w:lineRule="exact"/>
        <w:ind w:firstLine="560" w:firstLineChars="200"/>
        <w:rPr>
          <w:rFonts w:hint="eastAsia"/>
          <w:lang w:val="zh-CN" w:eastAsia="zh-CN"/>
        </w:rPr>
      </w:pPr>
      <w:r>
        <w:rPr>
          <w:rFonts w:hint="eastAsia"/>
          <w:lang w:val="zh-CN" w:eastAsia="zh-CN"/>
        </w:rPr>
        <w:t>（5）门岗保安人员应监督、控制出入的施工人员，禁止拾荒者和其它与工作无关的人员入内。</w:t>
      </w:r>
    </w:p>
    <w:p w14:paraId="3D50130B">
      <w:pPr>
        <w:spacing w:beforeLines="0" w:line="500" w:lineRule="exact"/>
        <w:ind w:firstLine="560" w:firstLineChars="200"/>
        <w:rPr>
          <w:rFonts w:hint="eastAsia"/>
          <w:lang w:val="zh-CN" w:eastAsia="zh-CN"/>
        </w:rPr>
      </w:pPr>
      <w:r>
        <w:rPr>
          <w:rFonts w:hint="eastAsia"/>
          <w:lang w:val="zh-CN" w:eastAsia="zh-CN"/>
        </w:rPr>
        <w:t>（6）门岗保安应与院内的巡逻保安、录像监控室的紧密协作与沟通，确保人员生命和财产安全不受威胁。</w:t>
      </w:r>
    </w:p>
    <w:p w14:paraId="0E731A28">
      <w:pPr>
        <w:spacing w:beforeLines="0" w:line="500" w:lineRule="exact"/>
        <w:ind w:firstLine="560" w:firstLineChars="200"/>
        <w:rPr>
          <w:rFonts w:hint="eastAsia"/>
          <w:lang w:val="zh-CN" w:eastAsia="zh-CN"/>
        </w:rPr>
      </w:pPr>
      <w:r>
        <w:rPr>
          <w:rFonts w:hint="eastAsia"/>
          <w:lang w:val="zh-CN" w:eastAsia="zh-CN"/>
        </w:rPr>
        <w:t>（7）门岗保安应保持工作区域清洁、应完整填写交接班登记表、记录当班的重要事件、按时交接工作物品（钥匙、双向对讲机、手机）等。</w:t>
      </w:r>
    </w:p>
    <w:p w14:paraId="5B5C96CE">
      <w:pPr>
        <w:spacing w:beforeLines="0" w:line="500" w:lineRule="exact"/>
        <w:ind w:firstLine="560" w:firstLineChars="200"/>
        <w:rPr>
          <w:rFonts w:hint="eastAsia"/>
          <w:lang w:val="zh-CN" w:eastAsia="zh-CN"/>
        </w:rPr>
      </w:pPr>
      <w:r>
        <w:rPr>
          <w:rFonts w:hint="eastAsia"/>
          <w:lang w:val="zh-CN" w:eastAsia="zh-CN"/>
        </w:rPr>
        <w:t>（8）如因保安人员在工作中玩忽职守、疏忽大意等原因造成局财产损失，保安公司应承担相应责任并负责赔偿。</w:t>
      </w:r>
    </w:p>
    <w:p w14:paraId="19C83293">
      <w:pPr>
        <w:spacing w:beforeLines="0" w:line="500" w:lineRule="exact"/>
        <w:ind w:firstLine="560" w:firstLineChars="200"/>
        <w:rPr>
          <w:rFonts w:hint="eastAsia"/>
          <w:lang w:val="zh-CN" w:eastAsia="zh-CN"/>
        </w:rPr>
      </w:pPr>
      <w:r>
        <w:rPr>
          <w:rFonts w:hint="eastAsia"/>
          <w:lang w:val="zh-CN" w:eastAsia="zh-CN"/>
        </w:rPr>
        <w:t>3.巡逻岗保安岗位职责</w:t>
      </w:r>
    </w:p>
    <w:p w14:paraId="37BBBFB6">
      <w:pPr>
        <w:spacing w:beforeLines="0" w:line="500" w:lineRule="exact"/>
        <w:ind w:firstLine="560" w:firstLineChars="200"/>
        <w:rPr>
          <w:rFonts w:hint="eastAsia"/>
          <w:lang w:val="zh-CN" w:eastAsia="zh-CN"/>
        </w:rPr>
      </w:pPr>
      <w:r>
        <w:rPr>
          <w:rFonts w:hint="eastAsia"/>
          <w:lang w:val="zh-CN" w:eastAsia="zh-CN"/>
        </w:rPr>
        <w:t>（1）巡逻岗保安员要熟悉机关办公楼内外和联合接待大厅环境，按保卫处规定路线巡视。要把机关院内重要部位和联合接待大厅区域作为巡查重点，要善于发现问题并对巡查结果做好记录。发现可疑人员时要立即上前询问、核查，如有不能处理的情况立即上报局值班室或局办公室。</w:t>
      </w:r>
    </w:p>
    <w:p w14:paraId="2A77B334">
      <w:pPr>
        <w:spacing w:beforeLines="0" w:line="500" w:lineRule="exact"/>
        <w:ind w:firstLine="560" w:firstLineChars="200"/>
        <w:rPr>
          <w:rFonts w:hint="eastAsia"/>
          <w:lang w:val="zh-CN" w:eastAsia="zh-CN"/>
        </w:rPr>
      </w:pPr>
      <w:r>
        <w:rPr>
          <w:rFonts w:hint="eastAsia"/>
          <w:lang w:val="zh-CN" w:eastAsia="zh-CN"/>
        </w:rPr>
        <w:t>（2）负责巡查车辆及车场设施情况，做好车况记录，如发现有破坏停放在院内车辆的情况时，请立即上报当班队长或局办公室。</w:t>
      </w:r>
    </w:p>
    <w:p w14:paraId="6909AD74">
      <w:pPr>
        <w:spacing w:beforeLines="0" w:line="500" w:lineRule="exact"/>
        <w:ind w:firstLine="560" w:firstLineChars="200"/>
        <w:rPr>
          <w:rFonts w:hint="eastAsia"/>
          <w:lang w:val="zh-CN" w:eastAsia="zh-CN"/>
        </w:rPr>
      </w:pPr>
      <w:r>
        <w:rPr>
          <w:rFonts w:hint="eastAsia"/>
          <w:lang w:val="zh-CN" w:eastAsia="zh-CN"/>
        </w:rPr>
        <w:t>（3）进入院内停放的车辆，必须停放在划定的车位（或指定区域，如地面）内。行车通道、消防通道、人行道、绿化带及非停车位禁止停车。</w:t>
      </w:r>
    </w:p>
    <w:p w14:paraId="12BBB910">
      <w:pPr>
        <w:spacing w:beforeLines="0" w:line="500" w:lineRule="exact"/>
        <w:ind w:firstLine="560" w:firstLineChars="200"/>
        <w:rPr>
          <w:rFonts w:hint="eastAsia"/>
          <w:lang w:val="zh-CN" w:eastAsia="zh-CN"/>
        </w:rPr>
      </w:pPr>
      <w:r>
        <w:rPr>
          <w:rFonts w:hint="eastAsia"/>
          <w:lang w:val="zh-CN" w:eastAsia="zh-CN"/>
        </w:rPr>
        <w:t>（4）巡逻保安应按规定的时间间隔巡逻，夜班巡逻岗保安必须手持强光灯进行巡逻，对光线不足或死角的地方，用强光灯进行照射，排除藏匿的小偷或可疑人员。</w:t>
      </w:r>
    </w:p>
    <w:p w14:paraId="45618F71">
      <w:pPr>
        <w:spacing w:beforeLines="0" w:line="500" w:lineRule="exact"/>
        <w:ind w:firstLine="560" w:firstLineChars="200"/>
        <w:rPr>
          <w:rFonts w:hint="eastAsia"/>
          <w:lang w:val="zh-CN" w:eastAsia="zh-CN"/>
        </w:rPr>
      </w:pPr>
      <w:r>
        <w:rPr>
          <w:rFonts w:hint="eastAsia"/>
          <w:lang w:val="zh-CN" w:eastAsia="zh-CN"/>
        </w:rPr>
        <w:t>（5）巡逻保安应按保安部门的规定，检查应上锁的门，对未上锁的门窗采取安全措施。</w:t>
      </w:r>
    </w:p>
    <w:p w14:paraId="128F5B72">
      <w:pPr>
        <w:spacing w:beforeLines="0" w:line="500" w:lineRule="exact"/>
        <w:ind w:firstLine="560" w:firstLineChars="200"/>
        <w:rPr>
          <w:rFonts w:hint="eastAsia"/>
          <w:lang w:val="zh-CN" w:eastAsia="zh-CN"/>
        </w:rPr>
      </w:pPr>
      <w:r>
        <w:rPr>
          <w:rFonts w:hint="eastAsia"/>
          <w:lang w:val="zh-CN" w:eastAsia="zh-CN"/>
        </w:rPr>
        <w:t>（6）巡逻保安应检查改造工程、装修工程及新施工现场，以确保其按规范安全施工。发现违规操作均应记录下来并上报局办公室。</w:t>
      </w:r>
    </w:p>
    <w:p w14:paraId="0296A7D2">
      <w:pPr>
        <w:spacing w:beforeLines="0" w:line="500" w:lineRule="exact"/>
        <w:ind w:firstLine="560" w:firstLineChars="200"/>
        <w:rPr>
          <w:rFonts w:hint="eastAsia"/>
          <w:lang w:val="zh-CN" w:eastAsia="zh-CN"/>
        </w:rPr>
      </w:pPr>
      <w:r>
        <w:rPr>
          <w:rFonts w:hint="eastAsia"/>
          <w:lang w:val="zh-CN" w:eastAsia="zh-CN"/>
        </w:rPr>
        <w:t>（7）巡逻保安应调查并登记所有可疑的行为。</w:t>
      </w:r>
    </w:p>
    <w:p w14:paraId="40E2EDDA">
      <w:pPr>
        <w:spacing w:beforeLines="0" w:line="500" w:lineRule="exact"/>
        <w:ind w:firstLine="560" w:firstLineChars="200"/>
        <w:rPr>
          <w:rFonts w:hint="eastAsia"/>
          <w:lang w:val="zh-CN" w:eastAsia="zh-CN"/>
        </w:rPr>
      </w:pPr>
      <w:r>
        <w:rPr>
          <w:rFonts w:hint="eastAsia"/>
          <w:lang w:val="zh-CN" w:eastAsia="zh-CN"/>
        </w:rPr>
        <w:t>（8）巡逻保安应与固定岗的保安、录像监控室的紧密协作与沟通，确保人员生命和财产安全不受威胁。</w:t>
      </w:r>
    </w:p>
    <w:p w14:paraId="5BF8EA9E">
      <w:pPr>
        <w:spacing w:beforeLines="0" w:line="500" w:lineRule="exact"/>
        <w:ind w:firstLine="560" w:firstLineChars="200"/>
        <w:rPr>
          <w:rFonts w:hint="eastAsia"/>
          <w:lang w:val="zh-CN" w:eastAsia="zh-CN"/>
        </w:rPr>
      </w:pPr>
      <w:r>
        <w:rPr>
          <w:rFonts w:hint="eastAsia"/>
          <w:lang w:val="zh-CN" w:eastAsia="zh-CN"/>
        </w:rPr>
        <w:t>（9）巡逻保安在遇到异常事件时应立即报告保安队长或局办公室、局值班室。</w:t>
      </w:r>
    </w:p>
    <w:p w14:paraId="286BDB6A">
      <w:pPr>
        <w:spacing w:beforeLines="0" w:line="500" w:lineRule="exact"/>
        <w:ind w:firstLine="560" w:firstLineChars="200"/>
        <w:rPr>
          <w:rFonts w:hint="eastAsia"/>
          <w:lang w:val="zh-CN" w:eastAsia="zh-CN"/>
        </w:rPr>
      </w:pPr>
      <w:r>
        <w:rPr>
          <w:rFonts w:hint="eastAsia"/>
          <w:lang w:val="zh-CN" w:eastAsia="zh-CN"/>
        </w:rPr>
        <w:t>（10）巡逻保安在遇到可疑人物时应高度警惕，并通知录像监控室进行监视。如果当时不能使用监控设备或不在可监控区域，保安应跟踪该可疑人物直到确信不存在问题为至。</w:t>
      </w:r>
    </w:p>
    <w:p w14:paraId="293ACB74">
      <w:pPr>
        <w:spacing w:beforeLines="0" w:line="500" w:lineRule="exact"/>
        <w:ind w:firstLine="560" w:firstLineChars="200"/>
        <w:rPr>
          <w:rFonts w:hint="eastAsia"/>
          <w:lang w:val="zh-CN" w:eastAsia="zh-CN"/>
        </w:rPr>
      </w:pPr>
      <w:r>
        <w:rPr>
          <w:rFonts w:hint="eastAsia"/>
          <w:lang w:val="zh-CN" w:eastAsia="zh-CN"/>
        </w:rPr>
        <w:t>（11）巡逻保安在遇到客户、职工发怒等情况时应保持冷静，并采取控制措施，避免事态进一步恶化。</w:t>
      </w:r>
    </w:p>
    <w:p w14:paraId="6C388224">
      <w:pPr>
        <w:spacing w:beforeLines="0" w:line="500" w:lineRule="exact"/>
        <w:ind w:firstLine="560" w:firstLineChars="200"/>
        <w:rPr>
          <w:rFonts w:hint="eastAsia"/>
          <w:lang w:val="zh-CN" w:eastAsia="zh-CN"/>
        </w:rPr>
      </w:pPr>
      <w:r>
        <w:rPr>
          <w:rFonts w:hint="eastAsia"/>
          <w:lang w:val="zh-CN" w:eastAsia="zh-CN"/>
        </w:rPr>
        <w:t>（12）巡逻保安应填写交接班登记表、记录巡逻时发生的重要事件、按时交接工作物品（钥匙、双向对讲机、手机）等。</w:t>
      </w:r>
    </w:p>
    <w:p w14:paraId="4DEE9041">
      <w:pPr>
        <w:spacing w:beforeLines="0" w:line="500" w:lineRule="exact"/>
        <w:ind w:firstLine="560" w:firstLineChars="200"/>
        <w:rPr>
          <w:rFonts w:hint="eastAsia"/>
          <w:lang w:val="zh-CN" w:eastAsia="zh-CN"/>
        </w:rPr>
      </w:pPr>
      <w:r>
        <w:rPr>
          <w:rFonts w:hint="eastAsia"/>
          <w:lang w:val="zh-CN" w:eastAsia="zh-CN"/>
        </w:rPr>
        <w:t>（13）如因保安人员在工作中玩忽职守、疏忽大意等原因造成档案局财产损失，保安公司应承担责任并负责赔偿。</w:t>
      </w:r>
    </w:p>
    <w:p w14:paraId="3E42756D">
      <w:pPr>
        <w:spacing w:beforeLines="0" w:line="500" w:lineRule="exact"/>
        <w:ind w:firstLine="560" w:firstLineChars="200"/>
        <w:rPr>
          <w:rFonts w:hint="eastAsia"/>
          <w:lang w:val="zh-CN" w:eastAsia="zh-CN"/>
        </w:rPr>
      </w:pPr>
      <w:r>
        <w:rPr>
          <w:rFonts w:hint="eastAsia"/>
          <w:lang w:val="zh-CN" w:eastAsia="zh-CN"/>
        </w:rPr>
        <w:t>4.家属院门卫工作要求</w:t>
      </w:r>
    </w:p>
    <w:p w14:paraId="23E24730">
      <w:pPr>
        <w:spacing w:beforeLines="0" w:line="500" w:lineRule="exact"/>
        <w:ind w:firstLine="560" w:firstLineChars="200"/>
        <w:rPr>
          <w:rFonts w:hint="eastAsia"/>
          <w:lang w:val="zh-CN" w:eastAsia="zh-CN"/>
        </w:rPr>
      </w:pPr>
      <w:r>
        <w:rPr>
          <w:rFonts w:hint="eastAsia"/>
          <w:lang w:val="zh-CN" w:eastAsia="zh-CN"/>
        </w:rPr>
        <w:t>岗位职责：盘问进出大门的陌生人，制止无关人员进入院内，对来访客人进行登记，打扫院内卫生，收报纸包裹邮件及其它相关工作。</w:t>
      </w:r>
    </w:p>
    <w:p w14:paraId="66C7F1DC">
      <w:pPr>
        <w:spacing w:beforeLines="0" w:line="500" w:lineRule="exact"/>
        <w:ind w:firstLine="560" w:firstLineChars="200"/>
        <w:rPr>
          <w:rFonts w:hint="eastAsia"/>
          <w:lang w:val="zh-CN" w:eastAsia="zh-CN"/>
        </w:rPr>
      </w:pPr>
      <w:r>
        <w:rPr>
          <w:rFonts w:hint="eastAsia"/>
          <w:lang w:val="zh-CN" w:eastAsia="zh-CN"/>
        </w:rPr>
        <w:t>（八）家属院门岗具体要求</w:t>
      </w:r>
    </w:p>
    <w:p w14:paraId="302C9793">
      <w:pPr>
        <w:spacing w:beforeLines="0" w:line="500" w:lineRule="exact"/>
        <w:ind w:firstLine="560" w:firstLineChars="200"/>
        <w:rPr>
          <w:rFonts w:hint="eastAsia"/>
          <w:lang w:val="zh-CN" w:eastAsia="zh-CN"/>
        </w:rPr>
      </w:pPr>
      <w:r>
        <w:rPr>
          <w:rFonts w:hint="eastAsia"/>
          <w:lang w:val="zh-CN" w:eastAsia="zh-CN"/>
        </w:rPr>
        <w:t>1.要有高度的事业心和责任感，忠于职守、严格管理、热情服务，认真填写值班记录，按时交接班。工作期间不许喝酒，不许打扑克下棋玩电脑游戏等与工作无关的事情。</w:t>
      </w:r>
    </w:p>
    <w:p w14:paraId="1C69C020">
      <w:pPr>
        <w:spacing w:beforeLines="0" w:line="500" w:lineRule="exact"/>
        <w:ind w:firstLine="560" w:firstLineChars="200"/>
        <w:rPr>
          <w:rFonts w:hint="eastAsia"/>
          <w:lang w:val="zh-CN" w:eastAsia="zh-CN"/>
        </w:rPr>
      </w:pPr>
      <w:r>
        <w:rPr>
          <w:rFonts w:hint="eastAsia"/>
          <w:lang w:val="zh-CN" w:eastAsia="zh-CN"/>
        </w:rPr>
        <w:t>2.上班时间坚守岗位，不得擅自离岗、脱岗，有事外出只能与同事换班并报领导批准。注意防火、防盗。发现异常及特殊情况及时报告。</w:t>
      </w:r>
    </w:p>
    <w:p w14:paraId="09CD8934">
      <w:pPr>
        <w:spacing w:beforeLines="0" w:line="500" w:lineRule="exact"/>
        <w:ind w:firstLine="560" w:firstLineChars="200"/>
        <w:rPr>
          <w:rFonts w:hint="eastAsia"/>
          <w:lang w:val="zh-CN" w:eastAsia="zh-CN"/>
        </w:rPr>
      </w:pPr>
      <w:r>
        <w:rPr>
          <w:rFonts w:hint="eastAsia"/>
          <w:lang w:val="zh-CN" w:eastAsia="zh-CN"/>
        </w:rPr>
        <w:t>3.按规定时间开门、锁门(早上:6:00开门;晚上23:00）如有特殊情况超过规定时间进出大门的住户，须事先与门卫进行联系，由门卫酌情处置。</w:t>
      </w:r>
    </w:p>
    <w:p w14:paraId="5C83AFA3">
      <w:pPr>
        <w:spacing w:beforeLines="0" w:line="500" w:lineRule="exact"/>
        <w:ind w:firstLine="560" w:firstLineChars="200"/>
        <w:rPr>
          <w:rFonts w:hint="eastAsia"/>
          <w:lang w:val="zh-CN" w:eastAsia="zh-CN"/>
        </w:rPr>
      </w:pPr>
      <w:r>
        <w:rPr>
          <w:rFonts w:hint="eastAsia"/>
          <w:lang w:val="zh-CN" w:eastAsia="zh-CN"/>
        </w:rPr>
        <w:t>4.对来访人员要主动询问，严格填写客人登记表。坚持原则，热情大方、礼貌待人，遇事冷静。禁止闲散人员进入家属院，防止坏人入院盗窃破坏。</w:t>
      </w:r>
    </w:p>
    <w:p w14:paraId="5E0768E7">
      <w:pPr>
        <w:spacing w:beforeLines="0" w:line="500" w:lineRule="exact"/>
        <w:ind w:firstLine="560" w:firstLineChars="200"/>
        <w:rPr>
          <w:rFonts w:hint="eastAsia"/>
          <w:lang w:val="zh-CN" w:eastAsia="zh-CN"/>
        </w:rPr>
      </w:pPr>
      <w:r>
        <w:rPr>
          <w:rFonts w:hint="eastAsia"/>
          <w:lang w:val="zh-CN" w:eastAsia="zh-CN"/>
        </w:rPr>
        <w:t>5.严禁商贩在院内叫卖或门口摆摊，严禁来院内乱发广告传单、乱贴乱画。保证门口进出畅通。</w:t>
      </w:r>
    </w:p>
    <w:p w14:paraId="1FBB3686">
      <w:pPr>
        <w:spacing w:beforeLines="0" w:line="500" w:lineRule="exact"/>
        <w:ind w:firstLine="560" w:firstLineChars="200"/>
        <w:rPr>
          <w:rFonts w:hint="eastAsia"/>
          <w:lang w:val="zh-CN" w:eastAsia="zh-CN"/>
        </w:rPr>
      </w:pPr>
      <w:r>
        <w:rPr>
          <w:rFonts w:hint="eastAsia"/>
          <w:lang w:val="zh-CN" w:eastAsia="zh-CN"/>
        </w:rPr>
        <w:t>6.负责接收和分发信件、包裹、报刊、杂志。要及时准确，不得延误，妥善保管，防止丢失或损坏。</w:t>
      </w:r>
    </w:p>
    <w:p w14:paraId="42A50D32">
      <w:pPr>
        <w:spacing w:beforeLines="0" w:line="500" w:lineRule="exact"/>
        <w:ind w:firstLine="560" w:firstLineChars="200"/>
        <w:rPr>
          <w:rFonts w:hint="eastAsia"/>
          <w:lang w:val="zh-CN" w:eastAsia="zh-CN"/>
        </w:rPr>
      </w:pPr>
      <w:r>
        <w:rPr>
          <w:rFonts w:hint="eastAsia"/>
          <w:lang w:val="zh-CN" w:eastAsia="zh-CN"/>
        </w:rPr>
        <w:t>7.负责院内的清洁、保持值班室和门口内外的卫生，发现垃圾或丢弃物应及时清扫。</w:t>
      </w:r>
    </w:p>
    <w:p w14:paraId="4C9A2CB8">
      <w:pPr>
        <w:rPr>
          <w:rFonts w:hint="eastAsia"/>
          <w:lang w:val="zh-CN"/>
        </w:rPr>
      </w:pPr>
    </w:p>
    <w:p w14:paraId="05EF0CF0">
      <w:pPr>
        <w:rPr>
          <w:rFonts w:hint="eastAsia"/>
          <w:lang w:val="en-US" w:eastAsia="zh-CN"/>
        </w:rPr>
      </w:pPr>
    </w:p>
    <w:p w14:paraId="7C8917B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color w:val="auto"/>
          <w:sz w:val="21"/>
          <w:szCs w:val="21"/>
        </w:rPr>
      </w:pPr>
      <w:r>
        <w:rPr>
          <w:rFonts w:hint="eastAsia" w:ascii="宋体" w:hAnsi="宋体" w:eastAsia="宋体" w:cs="宋体"/>
          <w:color w:val="auto"/>
          <w:sz w:val="21"/>
          <w:szCs w:val="21"/>
        </w:rPr>
        <w:t>备注：1、加“</w:t>
      </w:r>
      <w:r>
        <w:rPr>
          <w:rFonts w:hint="eastAsia" w:asciiTheme="minorEastAsia" w:hAnsiTheme="minorEastAsia" w:eastAsiaTheme="minorEastAsia" w:cstheme="minorEastAsia"/>
          <w:sz w:val="21"/>
          <w:szCs w:val="21"/>
        </w:rPr>
        <w:t>★</w:t>
      </w:r>
      <w:r>
        <w:rPr>
          <w:rFonts w:hint="eastAsia" w:ascii="宋体" w:hAnsi="宋体" w:eastAsia="宋体" w:cs="宋体"/>
          <w:color w:val="auto"/>
          <w:sz w:val="21"/>
          <w:szCs w:val="21"/>
        </w:rPr>
        <w:t>”内容项为实质性要求，投标人未逐条响应、有缺漏或负偏离将视为无效投标；</w:t>
      </w:r>
    </w:p>
    <w:p w14:paraId="012399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lang w:val="en-US"/>
        </w:rPr>
        <w:sectPr>
          <w:pgSz w:w="11920" w:h="16850"/>
          <w:pgMar w:top="1500" w:right="1300" w:bottom="280" w:left="1680" w:header="720" w:footer="720" w:gutter="0"/>
          <w:cols w:space="720" w:num="1"/>
        </w:sectPr>
      </w:pPr>
      <w:r>
        <w:rPr>
          <w:rFonts w:hint="eastAsia" w:ascii="宋体" w:hAnsi="宋体" w:eastAsia="宋体" w:cs="宋体"/>
          <w:color w:val="auto"/>
          <w:sz w:val="21"/>
          <w:szCs w:val="21"/>
        </w:rPr>
        <w:t xml:space="preserve">  2、加“▲”内容项为重要要求，投标人未达到这些要求或空白项（即为负偏离）将影响评分。</w:t>
      </w:r>
    </w:p>
    <w:p w14:paraId="275EC847">
      <w:pPr>
        <w:pStyle w:val="4"/>
        <w:keepNext/>
        <w:keepLines/>
        <w:pageBreakBefore/>
        <w:widowControl/>
        <w:kinsoku/>
        <w:wordWrap/>
        <w:overflowPunct/>
        <w:topLinePunct w:val="0"/>
        <w:autoSpaceDE/>
        <w:autoSpaceDN/>
        <w:bidi w:val="0"/>
        <w:adjustRightInd/>
        <w:snapToGrid/>
        <w:jc w:val="center"/>
        <w:textAlignment w:val="auto"/>
        <w:rPr>
          <w:rFonts w:hint="eastAsia" w:ascii="黑体" w:hAnsi="黑体" w:eastAsia="黑体" w:cs="黑体"/>
          <w:b w:val="0"/>
          <w:bCs/>
          <w:color w:val="auto"/>
          <w:sz w:val="32"/>
          <w:szCs w:val="40"/>
        </w:rPr>
      </w:pPr>
      <w:bookmarkStart w:id="203" w:name="_Toc4567_WPSOffice_Level1"/>
      <w:bookmarkStart w:id="204" w:name="_Toc1489"/>
      <w:bookmarkStart w:id="205" w:name="_Toc22627_WPSOffice_Level1"/>
      <w:bookmarkStart w:id="206" w:name="_Toc15416"/>
      <w:bookmarkStart w:id="207" w:name="_Toc25795_WPSOffice_Level1"/>
      <w:bookmarkStart w:id="208" w:name="_Toc29294"/>
      <w:r>
        <w:rPr>
          <w:rFonts w:hint="eastAsia" w:ascii="黑体" w:hAnsi="黑体" w:eastAsia="黑体" w:cs="黑体"/>
          <w:b w:val="0"/>
          <w:bCs/>
          <w:color w:val="auto"/>
          <w:sz w:val="32"/>
          <w:szCs w:val="40"/>
        </w:rPr>
        <w:t>第四章  合同基本条</w:t>
      </w:r>
      <w:bookmarkEnd w:id="203"/>
      <w:r>
        <w:rPr>
          <w:rFonts w:hint="eastAsia" w:ascii="黑体" w:hAnsi="黑体" w:eastAsia="黑体" w:cs="黑体"/>
          <w:b w:val="0"/>
          <w:bCs/>
          <w:color w:val="auto"/>
          <w:sz w:val="32"/>
          <w:szCs w:val="40"/>
        </w:rPr>
        <w:t>款</w:t>
      </w:r>
      <w:bookmarkEnd w:id="204"/>
      <w:bookmarkEnd w:id="205"/>
      <w:bookmarkEnd w:id="206"/>
      <w:bookmarkEnd w:id="207"/>
      <w:bookmarkEnd w:id="208"/>
    </w:p>
    <w:p w14:paraId="40A09CCE">
      <w:pPr>
        <w:pStyle w:val="5"/>
        <w:spacing w:line="500" w:lineRule="exact"/>
        <w:ind w:firstLine="566" w:firstLineChars="200"/>
        <w:rPr>
          <w:rFonts w:ascii="Calibri Light" w:hAnsi="Calibri Light"/>
          <w:color w:val="auto"/>
          <w:sz w:val="28"/>
          <w:szCs w:val="28"/>
        </w:rPr>
      </w:pPr>
      <w:bookmarkStart w:id="209" w:name="_Toc17826"/>
      <w:bookmarkStart w:id="210" w:name="_Toc29461"/>
      <w:bookmarkStart w:id="211" w:name="_Toc6419"/>
      <w:bookmarkStart w:id="212" w:name="_Toc8683"/>
      <w:bookmarkStart w:id="213" w:name="_Toc17681"/>
      <w:bookmarkStart w:id="214" w:name="_Toc31093"/>
      <w:bookmarkStart w:id="215" w:name="_Toc11440"/>
      <w:r>
        <w:rPr>
          <w:rFonts w:ascii="Calibri Light" w:hAnsi="Calibri Light"/>
          <w:color w:val="auto"/>
          <w:sz w:val="28"/>
          <w:szCs w:val="28"/>
        </w:rPr>
        <w:t>一、</w:t>
      </w:r>
      <w:r>
        <w:rPr>
          <w:rFonts w:hint="eastAsia" w:ascii="Calibri Light" w:hAnsi="Calibri Light"/>
          <w:color w:val="auto"/>
          <w:sz w:val="28"/>
          <w:szCs w:val="28"/>
          <w:lang w:eastAsia="zh-CN"/>
        </w:rPr>
        <w:t>服务</w:t>
      </w:r>
      <w:r>
        <w:rPr>
          <w:rFonts w:ascii="Calibri Light" w:hAnsi="Calibri Light"/>
          <w:color w:val="auto"/>
          <w:sz w:val="28"/>
          <w:szCs w:val="28"/>
        </w:rPr>
        <w:t>条件</w:t>
      </w:r>
      <w:bookmarkEnd w:id="209"/>
      <w:bookmarkEnd w:id="210"/>
      <w:bookmarkEnd w:id="211"/>
      <w:bookmarkEnd w:id="212"/>
      <w:bookmarkEnd w:id="213"/>
      <w:bookmarkEnd w:id="214"/>
      <w:bookmarkEnd w:id="215"/>
    </w:p>
    <w:p w14:paraId="3A81168E">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sz w:val="24"/>
          <w:szCs w:val="24"/>
          <w:lang w:eastAsia="zh-CN"/>
        </w:rPr>
      </w:pPr>
      <w:r>
        <w:rPr>
          <w:rFonts w:hint="eastAsia" w:ascii="仿宋" w:hAnsi="仿宋" w:eastAsia="仿宋"/>
          <w:color w:val="auto"/>
        </w:rPr>
        <w:t>（一）</w:t>
      </w:r>
      <w:r>
        <w:rPr>
          <w:rFonts w:hint="eastAsia" w:ascii="仿宋" w:hAnsi="仿宋" w:eastAsia="仿宋"/>
          <w:color w:val="auto"/>
          <w:lang w:eastAsia="zh-CN"/>
        </w:rPr>
        <w:t>服务</w:t>
      </w:r>
      <w:r>
        <w:rPr>
          <w:rFonts w:hint="eastAsia" w:ascii="仿宋" w:hAnsi="仿宋" w:eastAsia="仿宋"/>
          <w:color w:val="auto"/>
        </w:rPr>
        <w:t>地点：</w:t>
      </w:r>
      <w:r>
        <w:rPr>
          <w:rFonts w:hint="eastAsia" w:ascii="华文仿宋" w:hAnsi="华文仿宋" w:cs="华文仿宋"/>
          <w:color w:val="auto"/>
        </w:rPr>
        <w:t>采购人指定地点</w:t>
      </w:r>
    </w:p>
    <w:p w14:paraId="285E966F">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lang w:val="en-US" w:eastAsia="zh-CN"/>
        </w:rPr>
      </w:pPr>
      <w:r>
        <w:rPr>
          <w:rFonts w:hint="eastAsia" w:ascii="仿宋" w:hAnsi="仿宋" w:eastAsia="仿宋"/>
          <w:color w:val="auto"/>
        </w:rPr>
        <w:t>（二）</w:t>
      </w:r>
      <w:r>
        <w:rPr>
          <w:rFonts w:hint="eastAsia" w:ascii="仿宋" w:hAnsi="仿宋" w:eastAsia="仿宋"/>
          <w:color w:val="auto"/>
          <w:lang w:eastAsia="zh-CN"/>
        </w:rPr>
        <w:t>服务期</w:t>
      </w:r>
      <w:r>
        <w:rPr>
          <w:rFonts w:hint="eastAsia" w:ascii="华文仿宋" w:hAnsi="华文仿宋" w:cs="华文仿宋"/>
          <w:color w:val="auto"/>
        </w:rPr>
        <w:t>：</w:t>
      </w:r>
      <w:r>
        <w:rPr>
          <w:rFonts w:hint="eastAsia" w:ascii="华文仿宋" w:hAnsi="华文仿宋" w:cs="华文仿宋"/>
          <w:color w:val="auto"/>
          <w:lang w:eastAsia="zh-CN"/>
        </w:rPr>
        <w:t>自合同签订之日起一年。</w:t>
      </w:r>
      <w:r>
        <w:rPr>
          <w:rFonts w:hint="eastAsia" w:ascii="华文仿宋" w:hAnsi="华文仿宋" w:cs="华文仿宋"/>
          <w:color w:val="auto"/>
          <w:lang w:val="en-US" w:eastAsia="zh-CN"/>
        </w:rPr>
        <w:t>本项目服务期一年，根据财政部关于政府购买服务有关要求，本项目在合同期满前，采购人将对成交供应商进行考核，根据服务满意程度，采购人有权决定是否续签合同，累计合同履行期限不超过3年。</w:t>
      </w:r>
    </w:p>
    <w:p w14:paraId="343F99D8">
      <w:pPr>
        <w:pStyle w:val="5"/>
        <w:spacing w:line="500" w:lineRule="exact"/>
        <w:ind w:firstLine="566" w:firstLineChars="200"/>
        <w:rPr>
          <w:sz w:val="28"/>
          <w:szCs w:val="28"/>
        </w:rPr>
      </w:pPr>
      <w:bookmarkStart w:id="216" w:name="_Toc10368"/>
      <w:bookmarkStart w:id="217" w:name="_Toc29861"/>
      <w:bookmarkStart w:id="218" w:name="_Toc9748"/>
      <w:bookmarkStart w:id="219" w:name="_Toc3604"/>
      <w:bookmarkStart w:id="220" w:name="_Toc7309"/>
      <w:bookmarkStart w:id="221" w:name="_Toc13797"/>
      <w:bookmarkStart w:id="222" w:name="_Toc16409"/>
      <w:r>
        <w:rPr>
          <w:sz w:val="28"/>
          <w:szCs w:val="28"/>
        </w:rPr>
        <w:t>二、合同价款</w:t>
      </w:r>
      <w:bookmarkEnd w:id="216"/>
      <w:bookmarkEnd w:id="217"/>
      <w:bookmarkEnd w:id="218"/>
      <w:bookmarkEnd w:id="219"/>
      <w:bookmarkEnd w:id="220"/>
      <w:bookmarkEnd w:id="221"/>
      <w:bookmarkEnd w:id="222"/>
    </w:p>
    <w:p w14:paraId="57AA76B0">
      <w:pPr>
        <w:pStyle w:val="45"/>
        <w:spacing w:line="500" w:lineRule="exact"/>
        <w:ind w:firstLine="567"/>
      </w:pPr>
      <w:r>
        <w:rPr>
          <w:rFonts w:hint="eastAsia" w:ascii="华文仿宋" w:hAnsi="华文仿宋" w:cs="华文仿宋"/>
        </w:rPr>
        <w:t>合同总价一次性包死，不受市场价格变化因素的影响。</w:t>
      </w:r>
    </w:p>
    <w:p w14:paraId="2EA394F0">
      <w:pPr>
        <w:pStyle w:val="5"/>
        <w:spacing w:line="500" w:lineRule="exact"/>
        <w:ind w:left="566" w:leftChars="200"/>
        <w:rPr>
          <w:color w:val="auto"/>
          <w:highlight w:val="none"/>
        </w:rPr>
      </w:pPr>
      <w:bookmarkStart w:id="223" w:name="_Toc20919"/>
      <w:bookmarkStart w:id="224" w:name="_Toc28510"/>
      <w:bookmarkStart w:id="225" w:name="_Toc2370"/>
      <w:bookmarkStart w:id="226" w:name="_Toc20320"/>
      <w:bookmarkStart w:id="227" w:name="_Toc9841"/>
      <w:bookmarkStart w:id="228" w:name="_Toc7528"/>
      <w:bookmarkStart w:id="229" w:name="_Toc15272"/>
      <w:r>
        <w:rPr>
          <w:rFonts w:hint="eastAsia" w:ascii="Calibri Light" w:hAnsi="Calibri Light"/>
          <w:color w:val="auto"/>
          <w:sz w:val="28"/>
          <w:szCs w:val="28"/>
          <w:highlight w:val="none"/>
        </w:rPr>
        <w:t>三、</w:t>
      </w:r>
      <w:r>
        <w:rPr>
          <w:rFonts w:ascii="Calibri Light" w:hAnsi="Calibri Light"/>
          <w:color w:val="auto"/>
          <w:sz w:val="28"/>
          <w:szCs w:val="28"/>
          <w:highlight w:val="none"/>
        </w:rPr>
        <w:t>款项结算</w:t>
      </w:r>
      <w:bookmarkEnd w:id="223"/>
      <w:bookmarkEnd w:id="224"/>
      <w:bookmarkEnd w:id="225"/>
      <w:bookmarkEnd w:id="226"/>
      <w:bookmarkEnd w:id="227"/>
      <w:bookmarkEnd w:id="228"/>
      <w:bookmarkEnd w:id="229"/>
    </w:p>
    <w:p w14:paraId="581CB26D">
      <w:pPr>
        <w:pStyle w:val="45"/>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（一）支付方式：银行转账</w:t>
      </w:r>
    </w:p>
    <w:p w14:paraId="4EF6B686">
      <w:pPr>
        <w:pStyle w:val="45"/>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（二）货币单位：人民币</w:t>
      </w:r>
    </w:p>
    <w:p w14:paraId="1EF31B92">
      <w:pPr>
        <w:keepNext w:val="0"/>
        <w:keepLines w:val="0"/>
        <w:pageBreakBefore w:val="0"/>
        <w:widowControl/>
        <w:tabs>
          <w:tab w:val="left" w:pos="1155"/>
        </w:tabs>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lang w:val="en-US" w:eastAsia="zh-CN"/>
        </w:rPr>
      </w:pPr>
      <w:r>
        <w:rPr>
          <w:rFonts w:hint="eastAsia" w:ascii="华文仿宋" w:hAnsi="华文仿宋" w:cs="华文仿宋"/>
          <w:color w:val="auto"/>
          <w:highlight w:val="none"/>
        </w:rPr>
        <w:t>（三）结算方式：</w:t>
      </w:r>
      <w:bookmarkStart w:id="230" w:name="_Toc17983_WPSOffice_Level2"/>
      <w:bookmarkStart w:id="231" w:name="_Toc27759"/>
      <w:r>
        <w:rPr>
          <w:rFonts w:hint="eastAsia" w:ascii="华文仿宋" w:hAnsi="华文仿宋" w:cs="华文仿宋"/>
          <w:color w:val="auto"/>
          <w:highlight w:val="none"/>
          <w:lang w:val="zh-CN" w:eastAsia="zh-CN"/>
        </w:rPr>
        <w:t>每季度末支付当季度90%的款项，剩余10%作为考核基金，本季度考核合格后支付剩余的考核基金。成交供应商在接受付款前开具全额发票给采购人。</w:t>
      </w:r>
    </w:p>
    <w:bookmarkEnd w:id="230"/>
    <w:bookmarkEnd w:id="231"/>
    <w:p w14:paraId="3120EC5E">
      <w:pPr>
        <w:pStyle w:val="5"/>
        <w:spacing w:line="500" w:lineRule="exact"/>
        <w:ind w:firstLine="566" w:firstLineChars="200"/>
        <w:rPr>
          <w:rFonts w:hint="eastAsia" w:ascii="Calibri Light" w:hAnsi="Calibri Light"/>
          <w:color w:val="auto"/>
          <w:sz w:val="28"/>
          <w:szCs w:val="28"/>
          <w:lang w:eastAsia="zh-CN"/>
        </w:rPr>
      </w:pPr>
      <w:bookmarkStart w:id="232" w:name="_Toc21168"/>
      <w:bookmarkStart w:id="233" w:name="_Toc25756"/>
      <w:bookmarkStart w:id="234" w:name="_Toc13457"/>
      <w:bookmarkStart w:id="235" w:name="_Toc9859"/>
      <w:bookmarkStart w:id="236" w:name="_Toc31253"/>
      <w:bookmarkStart w:id="237" w:name="_Toc18479"/>
      <w:bookmarkStart w:id="238" w:name="_Toc1928"/>
      <w:bookmarkStart w:id="239" w:name="_Toc1013"/>
      <w:bookmarkStart w:id="240" w:name="_Toc9670"/>
      <w:bookmarkStart w:id="241" w:name="_Toc8604"/>
      <w:r>
        <w:rPr>
          <w:rFonts w:hint="eastAsia" w:ascii="Calibri Light" w:hAnsi="Calibri Light"/>
          <w:color w:val="auto"/>
          <w:sz w:val="28"/>
          <w:szCs w:val="28"/>
          <w:lang w:eastAsia="zh-CN"/>
        </w:rPr>
        <w:t>四</w:t>
      </w:r>
      <w:r>
        <w:rPr>
          <w:rFonts w:hint="eastAsia" w:ascii="Calibri Light" w:hAnsi="Calibri Light"/>
          <w:color w:val="auto"/>
          <w:sz w:val="28"/>
          <w:szCs w:val="28"/>
        </w:rPr>
        <w:t>、</w:t>
      </w:r>
      <w:bookmarkEnd w:id="232"/>
      <w:r>
        <w:rPr>
          <w:rFonts w:hint="eastAsia" w:ascii="Calibri Light" w:hAnsi="Calibri Light"/>
          <w:color w:val="auto"/>
          <w:sz w:val="28"/>
          <w:szCs w:val="28"/>
          <w:lang w:eastAsia="zh-CN"/>
        </w:rPr>
        <w:t>服务保证</w:t>
      </w:r>
      <w:bookmarkEnd w:id="233"/>
      <w:bookmarkEnd w:id="234"/>
    </w:p>
    <w:p w14:paraId="2052D320">
      <w:pPr>
        <w:tabs>
          <w:tab w:val="left" w:pos="1155"/>
        </w:tabs>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rPr>
        <w:t>1、</w:t>
      </w:r>
      <w:r>
        <w:rPr>
          <w:rFonts w:hint="eastAsia" w:ascii="华文仿宋" w:hAnsi="华文仿宋" w:cs="华文仿宋"/>
          <w:color w:val="auto"/>
          <w:highlight w:val="none"/>
        </w:rPr>
        <w:t>成交供应商提供服务时，服务要求应按不低于国家、省、市有关部门规定的质量标准执行。</w:t>
      </w:r>
    </w:p>
    <w:p w14:paraId="4BEE5EF7">
      <w:pPr>
        <w:tabs>
          <w:tab w:val="left" w:pos="1155"/>
        </w:tabs>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2、成交供应商承诺与拟投入人员均有劳动合同或聘用协议。</w:t>
      </w:r>
    </w:p>
    <w:p w14:paraId="3FABD3A9">
      <w:pPr>
        <w:keepNext w:val="0"/>
        <w:keepLines w:val="0"/>
        <w:widowControl/>
        <w:suppressLineNumbers w:val="0"/>
        <w:tabs>
          <w:tab w:val="left" w:pos="1155"/>
        </w:tabs>
        <w:spacing w:line="500" w:lineRule="exact"/>
        <w:ind w:firstLine="566" w:firstLineChars="200"/>
        <w:jc w:val="both"/>
        <w:rPr>
          <w:rFonts w:hint="eastAsia" w:ascii="华文仿宋" w:hAnsi="华文仿宋" w:cs="华文仿宋"/>
          <w:color w:val="auto"/>
          <w:highlight w:val="none"/>
        </w:rPr>
      </w:pPr>
      <w:r>
        <w:rPr>
          <w:rFonts w:hint="eastAsia" w:ascii="华文仿宋" w:hAnsi="华文仿宋" w:cs="华文仿宋"/>
          <w:color w:val="auto"/>
          <w:highlight w:val="none"/>
        </w:rPr>
        <w:t>3、承诺</w:t>
      </w:r>
      <w:r>
        <w:rPr>
          <w:rFonts w:hint="eastAsia" w:ascii="华文仿宋" w:hAnsi="华文仿宋" w:cs="华文仿宋"/>
          <w:color w:val="auto"/>
          <w:highlight w:val="none"/>
          <w:lang w:eastAsia="zh-CN"/>
        </w:rPr>
        <w:t>及时支付</w:t>
      </w:r>
      <w:r>
        <w:rPr>
          <w:rFonts w:hint="eastAsia" w:ascii="华文仿宋" w:hAnsi="华文仿宋" w:cs="华文仿宋"/>
          <w:color w:val="auto"/>
          <w:highlight w:val="none"/>
        </w:rPr>
        <w:t>拟投入</w:t>
      </w:r>
      <w:r>
        <w:rPr>
          <w:rFonts w:hint="eastAsia" w:ascii="华文仿宋" w:hAnsi="华文仿宋" w:eastAsia="华文仿宋" w:cs="华文仿宋"/>
          <w:color w:val="000000"/>
          <w:kern w:val="2"/>
          <w:sz w:val="28"/>
          <w:szCs w:val="28"/>
          <w:highlight w:val="none"/>
          <w:lang w:val="en-US" w:eastAsia="zh-CN" w:bidi="ar"/>
        </w:rPr>
        <w:t>管理服务人员的工资、社会保险和按规定提取的福利费等（人员工资不得低于陕西省最低工资标准相关规定）。</w:t>
      </w:r>
    </w:p>
    <w:p w14:paraId="6F9C1AA1">
      <w:pPr>
        <w:tabs>
          <w:tab w:val="left" w:pos="1155"/>
        </w:tabs>
        <w:spacing w:line="500" w:lineRule="exact"/>
        <w:ind w:firstLine="566" w:firstLineChars="200"/>
        <w:rPr>
          <w:rFonts w:hint="eastAsia" w:ascii="华文仿宋" w:hAnsi="华文仿宋" w:cs="华文仿宋"/>
          <w:color w:val="C00000"/>
          <w:highlight w:val="none"/>
        </w:rPr>
      </w:pPr>
      <w:r>
        <w:rPr>
          <w:rFonts w:hint="eastAsia" w:ascii="华文仿宋" w:hAnsi="华文仿宋" w:cs="华文仿宋"/>
          <w:color w:val="auto"/>
          <w:highlight w:val="none"/>
        </w:rPr>
        <w:t>4、成交供应商承诺工作人员按采购文件落实。</w:t>
      </w:r>
    </w:p>
    <w:p w14:paraId="5CE8E1B0">
      <w:pPr>
        <w:pStyle w:val="5"/>
        <w:spacing w:line="500" w:lineRule="exact"/>
        <w:ind w:firstLine="566" w:firstLineChars="200"/>
        <w:rPr>
          <w:rFonts w:hint="eastAsia" w:ascii="Calibri Light" w:hAnsi="Calibri Light"/>
          <w:color w:val="auto"/>
          <w:sz w:val="28"/>
          <w:szCs w:val="28"/>
          <w:lang w:val="en-US" w:eastAsia="zh-CN"/>
        </w:rPr>
      </w:pPr>
      <w:bookmarkStart w:id="242" w:name="_Toc12255"/>
      <w:bookmarkStart w:id="243" w:name="_Toc3125"/>
      <w:bookmarkStart w:id="244" w:name="_Toc10737"/>
      <w:r>
        <w:rPr>
          <w:rFonts w:hint="eastAsia" w:ascii="Calibri Light" w:hAnsi="Calibri Light"/>
          <w:color w:val="auto"/>
          <w:sz w:val="28"/>
          <w:szCs w:val="28"/>
          <w:lang w:val="en-US" w:eastAsia="zh-CN"/>
        </w:rPr>
        <w:t>五、</w:t>
      </w:r>
      <w:bookmarkEnd w:id="242"/>
      <w:r>
        <w:rPr>
          <w:rFonts w:hint="eastAsia" w:ascii="Calibri Light" w:hAnsi="Calibri Light"/>
          <w:color w:val="auto"/>
          <w:sz w:val="28"/>
          <w:szCs w:val="28"/>
          <w:lang w:val="en-US" w:eastAsia="zh-CN"/>
        </w:rPr>
        <w:t>服务承诺</w:t>
      </w:r>
      <w:bookmarkEnd w:id="243"/>
      <w:bookmarkEnd w:id="244"/>
    </w:p>
    <w:p w14:paraId="53097C1A">
      <w:pPr>
        <w:spacing w:line="500" w:lineRule="exact"/>
        <w:ind w:firstLine="566" w:firstLineChars="200"/>
        <w:rPr>
          <w:rFonts w:hint="eastAsia"/>
          <w:lang w:val="en-US" w:eastAsia="zh-CN"/>
        </w:rPr>
      </w:pPr>
      <w:r>
        <w:rPr>
          <w:rFonts w:hint="eastAsia" w:ascii="华文仿宋" w:hAnsi="华文仿宋" w:cs="华文仿宋"/>
          <w:bCs/>
        </w:rPr>
        <w:t>以</w:t>
      </w:r>
      <w:r>
        <w:rPr>
          <w:rFonts w:hint="eastAsia" w:ascii="华文仿宋" w:hAnsi="华文仿宋" w:cs="华文仿宋"/>
        </w:rPr>
        <w:t>响应文件、澄清表（函）、合同和随服务的相关文件为准。</w:t>
      </w:r>
    </w:p>
    <w:p w14:paraId="1FAE04CF">
      <w:pPr>
        <w:pStyle w:val="5"/>
        <w:keepNext/>
        <w:keepLines/>
        <w:pageBreakBefore w:val="0"/>
        <w:widowControl/>
        <w:kinsoku/>
        <w:wordWrap/>
        <w:overflowPunct/>
        <w:topLinePunct w:val="0"/>
        <w:autoSpaceDE/>
        <w:autoSpaceDN/>
        <w:bidi w:val="0"/>
        <w:adjustRightInd/>
        <w:snapToGrid/>
        <w:spacing w:line="500" w:lineRule="exact"/>
        <w:ind w:left="566" w:leftChars="200"/>
        <w:textAlignment w:val="auto"/>
        <w:rPr>
          <w:rFonts w:hint="eastAsia" w:ascii="Calibri Light" w:hAnsi="Calibri Light"/>
          <w:color w:val="auto"/>
          <w:sz w:val="28"/>
          <w:szCs w:val="28"/>
          <w:lang w:val="en-US" w:eastAsia="zh-CN"/>
        </w:rPr>
      </w:pPr>
      <w:bookmarkStart w:id="245" w:name="_Toc17000"/>
      <w:bookmarkStart w:id="246" w:name="_Toc31648"/>
      <w:bookmarkStart w:id="247" w:name="_Toc3594"/>
      <w:r>
        <w:rPr>
          <w:rFonts w:hint="eastAsia" w:ascii="Calibri Light" w:hAnsi="Calibri Light"/>
          <w:color w:val="auto"/>
          <w:sz w:val="28"/>
          <w:szCs w:val="28"/>
          <w:lang w:val="en-US" w:eastAsia="zh-CN"/>
        </w:rPr>
        <w:t>六、违约责任</w:t>
      </w:r>
      <w:bookmarkEnd w:id="235"/>
      <w:bookmarkEnd w:id="236"/>
      <w:bookmarkEnd w:id="237"/>
      <w:bookmarkEnd w:id="238"/>
      <w:bookmarkEnd w:id="239"/>
      <w:bookmarkEnd w:id="240"/>
      <w:bookmarkEnd w:id="241"/>
      <w:bookmarkEnd w:id="245"/>
      <w:bookmarkEnd w:id="246"/>
      <w:bookmarkEnd w:id="247"/>
    </w:p>
    <w:p w14:paraId="58709B12">
      <w:pPr>
        <w:spacing w:line="500" w:lineRule="exact"/>
        <w:ind w:firstLine="566" w:firstLineChars="200"/>
        <w:rPr>
          <w:rFonts w:ascii="华文仿宋" w:hAnsi="华文仿宋" w:cs="华文仿宋"/>
          <w:color w:val="auto"/>
        </w:rPr>
      </w:pPr>
      <w:r>
        <w:rPr>
          <w:rFonts w:hint="eastAsia" w:ascii="华文仿宋" w:hAnsi="华文仿宋" w:cs="华文仿宋"/>
          <w:color w:val="auto"/>
        </w:rPr>
        <w:t>（一）按《合同法》中的相关条款执行。</w:t>
      </w:r>
    </w:p>
    <w:p w14:paraId="1A32F7BE">
      <w:pPr>
        <w:spacing w:line="500" w:lineRule="exact"/>
        <w:ind w:firstLine="566" w:firstLineChars="200"/>
        <w:rPr>
          <w:color w:val="auto"/>
        </w:rPr>
      </w:pPr>
      <w:r>
        <w:rPr>
          <w:rFonts w:hint="eastAsia" w:ascii="华文仿宋" w:hAnsi="华文仿宋" w:cs="华文仿宋"/>
          <w:color w:val="auto"/>
        </w:rPr>
        <w:t>（二）未按合同要求提供服务或服务质量不能满足合同要求，采购人有权依据《合同法》有关条款及合同约定终止合同，并要求供应商承担违约责任。</w:t>
      </w:r>
    </w:p>
    <w:p w14:paraId="0E675D20">
      <w:pPr>
        <w:pStyle w:val="5"/>
        <w:spacing w:line="500" w:lineRule="exact"/>
        <w:ind w:firstLine="566" w:firstLineChars="200"/>
        <w:rPr>
          <w:rFonts w:ascii="Calibri Light" w:hAnsi="Calibri Light"/>
          <w:color w:val="auto"/>
          <w:sz w:val="28"/>
          <w:szCs w:val="28"/>
        </w:rPr>
      </w:pPr>
      <w:bookmarkStart w:id="248" w:name="_Toc11377"/>
      <w:bookmarkStart w:id="249" w:name="_Toc478"/>
      <w:bookmarkStart w:id="250" w:name="_Toc30027"/>
      <w:bookmarkStart w:id="251" w:name="_Toc22632"/>
      <w:bookmarkStart w:id="252" w:name="_Toc27319"/>
      <w:bookmarkStart w:id="253" w:name="_Toc6384"/>
      <w:bookmarkStart w:id="254" w:name="_Toc29554"/>
      <w:bookmarkStart w:id="255" w:name="_Toc15862"/>
      <w:bookmarkStart w:id="256" w:name="_Toc27290"/>
      <w:bookmarkStart w:id="257" w:name="_Toc1540"/>
      <w:r>
        <w:rPr>
          <w:rFonts w:hint="eastAsia" w:ascii="Calibri Light" w:hAnsi="Calibri Light"/>
          <w:color w:val="auto"/>
          <w:sz w:val="28"/>
          <w:szCs w:val="28"/>
          <w:lang w:eastAsia="zh-CN"/>
        </w:rPr>
        <w:t>七</w:t>
      </w:r>
      <w:r>
        <w:rPr>
          <w:rFonts w:hint="eastAsia" w:ascii="Calibri Light" w:hAnsi="Calibri Light"/>
          <w:color w:val="auto"/>
          <w:sz w:val="28"/>
          <w:szCs w:val="28"/>
        </w:rPr>
        <w:t>、争议解决</w:t>
      </w:r>
      <w:bookmarkEnd w:id="248"/>
      <w:bookmarkEnd w:id="249"/>
      <w:bookmarkEnd w:id="250"/>
      <w:bookmarkEnd w:id="251"/>
      <w:bookmarkEnd w:id="252"/>
      <w:bookmarkEnd w:id="253"/>
      <w:bookmarkEnd w:id="254"/>
      <w:bookmarkEnd w:id="255"/>
      <w:bookmarkEnd w:id="256"/>
      <w:bookmarkEnd w:id="257"/>
    </w:p>
    <w:p w14:paraId="2BAA5DA1">
      <w:pPr>
        <w:spacing w:line="500" w:lineRule="exact"/>
        <w:ind w:firstLine="566" w:firstLineChars="200"/>
        <w:rPr>
          <w:rFonts w:ascii="华文仿宋" w:hAnsi="华文仿宋" w:cs="华文仿宋"/>
          <w:b/>
          <w:color w:val="auto"/>
        </w:rPr>
      </w:pPr>
      <w:r>
        <w:rPr>
          <w:rFonts w:hint="eastAsia" w:ascii="华文仿宋" w:hAnsi="华文仿宋" w:cs="华文仿宋"/>
          <w:color w:val="auto"/>
        </w:rPr>
        <w:t>执行本合同中产生纠纷，由采购人与成交供应商双方协商解决；协商不成，向有管辖权的人民法院提起诉讼。</w:t>
      </w:r>
    </w:p>
    <w:p w14:paraId="6BAEB6BB">
      <w:pPr>
        <w:pStyle w:val="5"/>
        <w:spacing w:line="500" w:lineRule="exact"/>
        <w:ind w:firstLine="566" w:firstLineChars="200"/>
        <w:rPr>
          <w:rFonts w:ascii="Calibri Light" w:hAnsi="Calibri Light"/>
          <w:color w:val="auto"/>
          <w:sz w:val="28"/>
          <w:szCs w:val="28"/>
        </w:rPr>
      </w:pPr>
      <w:bookmarkStart w:id="258" w:name="_Toc4348"/>
      <w:bookmarkStart w:id="259" w:name="_Toc5620"/>
      <w:bookmarkStart w:id="260" w:name="_Toc27351"/>
      <w:bookmarkStart w:id="261" w:name="_Toc20699"/>
      <w:bookmarkStart w:id="262" w:name="_Toc8792"/>
      <w:bookmarkStart w:id="263" w:name="_Toc22660"/>
      <w:bookmarkStart w:id="264" w:name="_Toc20728"/>
      <w:bookmarkStart w:id="265" w:name="_Toc32130"/>
      <w:bookmarkStart w:id="266" w:name="_Toc13662"/>
      <w:bookmarkStart w:id="267" w:name="_Toc25916"/>
      <w:r>
        <w:rPr>
          <w:rFonts w:hint="eastAsia" w:ascii="Calibri Light" w:hAnsi="Calibri Light"/>
          <w:color w:val="auto"/>
          <w:sz w:val="28"/>
          <w:szCs w:val="28"/>
          <w:lang w:eastAsia="zh-CN"/>
        </w:rPr>
        <w:t>八</w:t>
      </w:r>
      <w:r>
        <w:rPr>
          <w:rFonts w:ascii="Calibri Light" w:hAnsi="Calibri Light"/>
          <w:color w:val="auto"/>
          <w:sz w:val="28"/>
          <w:szCs w:val="28"/>
        </w:rPr>
        <w:t>、</w:t>
      </w:r>
      <w:r>
        <w:rPr>
          <w:rFonts w:hint="eastAsia" w:ascii="Calibri Light" w:hAnsi="Calibri Light"/>
          <w:color w:val="auto"/>
          <w:sz w:val="28"/>
          <w:szCs w:val="28"/>
        </w:rPr>
        <w:t>合同生效</w:t>
      </w:r>
      <w:bookmarkEnd w:id="258"/>
      <w:bookmarkEnd w:id="259"/>
      <w:bookmarkEnd w:id="260"/>
      <w:r>
        <w:rPr>
          <w:rFonts w:hint="eastAsia" w:ascii="Calibri Light" w:hAnsi="Calibri Light"/>
          <w:color w:val="auto"/>
          <w:sz w:val="28"/>
          <w:szCs w:val="28"/>
        </w:rPr>
        <w:t>及其他</w:t>
      </w:r>
      <w:bookmarkEnd w:id="261"/>
      <w:bookmarkEnd w:id="262"/>
      <w:bookmarkEnd w:id="263"/>
      <w:bookmarkEnd w:id="264"/>
      <w:bookmarkEnd w:id="265"/>
      <w:bookmarkEnd w:id="266"/>
      <w:bookmarkEnd w:id="267"/>
    </w:p>
    <w:p w14:paraId="598DC8A0">
      <w:pPr>
        <w:spacing w:line="500" w:lineRule="exact"/>
        <w:ind w:firstLine="566" w:firstLineChars="200"/>
        <w:rPr>
          <w:rFonts w:ascii="华文仿宋" w:hAnsi="华文仿宋" w:cs="华文仿宋"/>
          <w:color w:val="auto"/>
        </w:rPr>
      </w:pPr>
      <w:r>
        <w:rPr>
          <w:rFonts w:hint="eastAsia" w:ascii="华文仿宋" w:hAnsi="华文仿宋" w:cs="华文仿宋"/>
          <w:color w:val="auto"/>
        </w:rPr>
        <w:t xml:space="preserve">（一）本合同自签订之日起生效。 </w:t>
      </w:r>
    </w:p>
    <w:p w14:paraId="7348B1F1">
      <w:pPr>
        <w:spacing w:line="500" w:lineRule="exact"/>
        <w:ind w:firstLine="566" w:firstLineChars="200"/>
        <w:rPr>
          <w:rFonts w:ascii="华文仿宋" w:hAnsi="华文仿宋" w:cs="华文仿宋"/>
          <w:color w:val="auto"/>
        </w:rPr>
      </w:pPr>
      <w:r>
        <w:rPr>
          <w:rFonts w:hint="eastAsia" w:ascii="华文仿宋" w:hAnsi="华文仿宋" w:cs="华文仿宋"/>
          <w:color w:val="auto"/>
        </w:rPr>
        <w:t>（二）合同一式八份，采购人三份，成交供应商、陕西省省级单位政府采购中心各执一份；政府采购监管机构备案一份，成交供应商办理结算两份。</w:t>
      </w:r>
    </w:p>
    <w:p w14:paraId="7A56441A">
      <w:pPr>
        <w:tabs>
          <w:tab w:val="center" w:pos="4153"/>
          <w:tab w:val="right" w:pos="8306"/>
        </w:tabs>
        <w:spacing w:line="500" w:lineRule="exact"/>
        <w:ind w:firstLine="566" w:firstLineChars="200"/>
        <w:sectPr>
          <w:headerReference r:id="rId11" w:type="first"/>
          <w:footerReference r:id="rId14" w:type="first"/>
          <w:headerReference r:id="rId9" w:type="default"/>
          <w:footerReference r:id="rId12" w:type="default"/>
          <w:headerReference r:id="rId10" w:type="even"/>
          <w:footerReference r:id="rId13" w:type="even"/>
          <w:pgSz w:w="11906" w:h="16838"/>
          <w:pgMar w:top="1417" w:right="1417" w:bottom="1417" w:left="1417" w:header="850" w:footer="992" w:gutter="0"/>
          <w:pgNumType w:fmt="decimal"/>
          <w:cols w:space="720" w:num="1"/>
          <w:docGrid w:type="linesAndChars" w:linePitch="381" w:charSpace="704"/>
        </w:sectPr>
      </w:pPr>
      <w:r>
        <w:rPr>
          <w:rFonts w:hint="eastAsia" w:ascii="华文仿宋" w:hAnsi="华文仿宋" w:cs="华文仿宋"/>
          <w:color w:val="auto"/>
        </w:rPr>
        <w:t>（三）未尽事宜由双方在签订合同时具体明确。</w:t>
      </w:r>
    </w:p>
    <w:p w14:paraId="6F9FBF52">
      <w:pPr>
        <w:pStyle w:val="4"/>
        <w:rPr>
          <w:rFonts w:ascii="黑体" w:hAnsi="黑体" w:eastAsia="黑体" w:cs="黑体"/>
          <w:b w:val="0"/>
          <w:bCs/>
          <w:color w:val="auto"/>
          <w:sz w:val="32"/>
          <w:szCs w:val="32"/>
        </w:rPr>
      </w:pPr>
      <w:bookmarkStart w:id="268" w:name="_Toc18466_WPSOffice_Level1"/>
      <w:bookmarkStart w:id="269" w:name="_Toc24877"/>
      <w:bookmarkStart w:id="270" w:name="_Toc10099"/>
      <w:bookmarkStart w:id="271" w:name="_Toc24181"/>
      <w:bookmarkStart w:id="272" w:name="_Toc495014587"/>
      <w:bookmarkStart w:id="273" w:name="_Toc495014613"/>
      <w:bookmarkStart w:id="274" w:name="_Toc495014651"/>
      <w:bookmarkStart w:id="275" w:name="_Toc495012823"/>
      <w:bookmarkStart w:id="276" w:name="_Toc18484_WPSOffice_Level1"/>
      <w:bookmarkStart w:id="277" w:name="_Toc495014956"/>
      <w:bookmarkStart w:id="278" w:name="_Toc784_WPSOffice_Level1"/>
      <w:bookmarkStart w:id="279" w:name="_Toc495014922"/>
      <w:bookmarkStart w:id="280" w:name="_Toc495012773"/>
      <w:bookmarkStart w:id="281" w:name="_Toc445306495"/>
      <w:r>
        <w:rPr>
          <w:rFonts w:hint="eastAsia" w:ascii="黑体" w:hAnsi="黑体" w:eastAsia="黑体" w:cs="黑体"/>
          <w:b w:val="0"/>
          <w:bCs/>
          <w:color w:val="auto"/>
          <w:sz w:val="32"/>
          <w:szCs w:val="32"/>
        </w:rPr>
        <w:t>第五章  响应文件构成及格式</w:t>
      </w:r>
      <w:bookmarkEnd w:id="268"/>
      <w:bookmarkEnd w:id="269"/>
      <w:bookmarkEnd w:id="270"/>
      <w:bookmarkEnd w:id="271"/>
    </w:p>
    <w:p w14:paraId="29333C75">
      <w:pPr>
        <w:pStyle w:val="43"/>
        <w:rPr>
          <w:color w:val="auto"/>
        </w:rPr>
      </w:pPr>
    </w:p>
    <w:p w14:paraId="0E61FB0A">
      <w:pPr>
        <w:pStyle w:val="43"/>
        <w:rPr>
          <w:color w:val="auto"/>
        </w:rPr>
      </w:pPr>
    </w:p>
    <w:p w14:paraId="15CD0AEF">
      <w:pPr>
        <w:pStyle w:val="43"/>
        <w:rPr>
          <w:color w:val="auto"/>
        </w:rPr>
      </w:pPr>
    </w:p>
    <w:p w14:paraId="3B29DFED">
      <w:pPr>
        <w:pStyle w:val="43"/>
        <w:rPr>
          <w:color w:val="auto"/>
        </w:rPr>
      </w:pPr>
      <w:r>
        <w:rPr>
          <w:rFonts w:hint="eastAsia"/>
          <w:color w:val="auto"/>
        </w:rPr>
        <w:t xml:space="preserve">  </w:t>
      </w:r>
    </w:p>
    <w:tbl>
      <w:tblPr>
        <w:tblStyle w:val="23"/>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303C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1F0BCE60">
            <w:pPr>
              <w:spacing w:before="120"/>
              <w:rPr>
                <w:rFonts w:ascii="仿宋" w:hAnsi="仿宋" w:eastAsia="仿宋" w:cs="仿宋"/>
                <w:color w:val="auto"/>
                <w:sz w:val="24"/>
                <w:szCs w:val="24"/>
              </w:rPr>
            </w:pPr>
            <w:r>
              <w:rPr>
                <w:rFonts w:hint="eastAsia" w:ascii="仿宋" w:hAnsi="仿宋" w:eastAsia="仿宋" w:cs="仿宋"/>
                <w:color w:val="auto"/>
                <w:sz w:val="24"/>
                <w:szCs w:val="24"/>
              </w:rPr>
              <w:t xml:space="preserve">注释： </w:t>
            </w:r>
          </w:p>
          <w:p w14:paraId="38803FA2">
            <w:pPr>
              <w:spacing w:before="120" w:line="420" w:lineRule="exact"/>
              <w:ind w:firstLine="486" w:firstLineChars="200"/>
              <w:jc w:val="left"/>
              <w:rPr>
                <w:rFonts w:ascii="仿宋" w:hAnsi="仿宋" w:eastAsia="仿宋" w:cs="仿宋"/>
                <w:color w:val="auto"/>
                <w:sz w:val="24"/>
                <w:szCs w:val="24"/>
              </w:rPr>
            </w:pPr>
            <w:r>
              <w:rPr>
                <w:rFonts w:hint="eastAsia" w:ascii="仿宋" w:hAnsi="仿宋" w:eastAsia="仿宋" w:cs="仿宋"/>
                <w:color w:val="auto"/>
                <w:sz w:val="24"/>
                <w:szCs w:val="24"/>
              </w:rPr>
              <w:t>1、本章分为三部分，是为方便投标人制作响应文件设计。第一、二部分应按要求或给定格式选择填报。</w:t>
            </w:r>
          </w:p>
          <w:p w14:paraId="3611D8F3">
            <w:pPr>
              <w:spacing w:before="120" w:line="420" w:lineRule="exact"/>
              <w:ind w:firstLine="486" w:firstLineChars="200"/>
              <w:jc w:val="left"/>
              <w:rPr>
                <w:rFonts w:ascii="仿宋" w:hAnsi="仿宋" w:eastAsia="仿宋" w:cs="仿宋"/>
                <w:color w:val="auto"/>
                <w:sz w:val="24"/>
                <w:szCs w:val="24"/>
              </w:rPr>
            </w:pPr>
            <w:r>
              <w:rPr>
                <w:rFonts w:hint="eastAsia" w:ascii="仿宋" w:hAnsi="仿宋" w:eastAsia="仿宋" w:cs="仿宋"/>
                <w:color w:val="auto"/>
                <w:sz w:val="24"/>
                <w:szCs w:val="24"/>
              </w:rPr>
              <w:t>2、第三部分响应方案格式仅供参考，投标人应根据项目特点，结合本次招标要求，对有关表格进行补充或修改，但不得对实质性文件的相关条款作出变动。</w:t>
            </w:r>
          </w:p>
        </w:tc>
      </w:tr>
    </w:tbl>
    <w:p w14:paraId="53361872">
      <w:pPr>
        <w:pStyle w:val="43"/>
        <w:rPr>
          <w:color w:val="auto"/>
          <w:sz w:val="20"/>
        </w:rPr>
      </w:pPr>
    </w:p>
    <w:p w14:paraId="57AE0577">
      <w:pPr>
        <w:pStyle w:val="45"/>
        <w:spacing w:line="240" w:lineRule="auto"/>
        <w:ind w:firstLine="253" w:firstLineChars="70"/>
        <w:jc w:val="center"/>
        <w:rPr>
          <w:rFonts w:ascii="宋体" w:hAnsi="宋体" w:eastAsia="宋体"/>
          <w:color w:val="auto"/>
          <w:sz w:val="36"/>
          <w:szCs w:val="36"/>
        </w:rPr>
      </w:pPr>
    </w:p>
    <w:p w14:paraId="477D31AC">
      <w:pPr>
        <w:pStyle w:val="45"/>
        <w:spacing w:line="240" w:lineRule="auto"/>
        <w:ind w:firstLine="253" w:firstLineChars="70"/>
        <w:jc w:val="center"/>
        <w:rPr>
          <w:rFonts w:ascii="宋体" w:hAnsi="宋体" w:eastAsia="宋体"/>
          <w:color w:val="auto"/>
          <w:sz w:val="36"/>
          <w:szCs w:val="36"/>
        </w:rPr>
      </w:pPr>
      <w:r>
        <w:rPr>
          <w:rFonts w:ascii="宋体" w:hAnsi="宋体" w:eastAsia="宋体"/>
          <w:color w:val="auto"/>
          <w:sz w:val="36"/>
          <w:szCs w:val="36"/>
        </w:rPr>
        <w:br w:type="page"/>
      </w:r>
    </w:p>
    <w:bookmarkEnd w:id="272"/>
    <w:bookmarkEnd w:id="273"/>
    <w:bookmarkEnd w:id="274"/>
    <w:bookmarkEnd w:id="275"/>
    <w:bookmarkEnd w:id="276"/>
    <w:bookmarkEnd w:id="277"/>
    <w:bookmarkEnd w:id="278"/>
    <w:bookmarkEnd w:id="279"/>
    <w:bookmarkEnd w:id="280"/>
    <w:bookmarkEnd w:id="281"/>
    <w:p w14:paraId="78686170">
      <w:pPr>
        <w:pStyle w:val="45"/>
        <w:spacing w:line="240" w:lineRule="auto"/>
        <w:ind w:firstLine="0" w:firstLineChars="0"/>
        <w:rPr>
          <w:rFonts w:ascii="黑体" w:hAnsi="黑体" w:eastAsia="黑体" w:cs="黑体"/>
          <w:color w:val="auto"/>
        </w:rPr>
      </w:pPr>
      <w:bookmarkStart w:id="282" w:name="_Toc2071_WPSOffice_Level1"/>
      <w:bookmarkStart w:id="283" w:name="_Toc31082_WPSOffice_Level1"/>
      <w:bookmarkStart w:id="284" w:name="_Toc21571_WPSOffice_Level1"/>
      <w:bookmarkStart w:id="285" w:name="_Toc22476_WPSOffice_Level1"/>
      <w:r>
        <w:rPr>
          <w:rFonts w:hint="eastAsia" w:ascii="黑体" w:hAnsi="黑体" w:eastAsia="黑体" w:cs="黑体"/>
          <w:color w:val="auto"/>
        </w:rPr>
        <w:t>封面格式</w:t>
      </w:r>
    </w:p>
    <w:p w14:paraId="1B9D469E">
      <w:pPr>
        <w:pStyle w:val="45"/>
        <w:spacing w:line="240" w:lineRule="auto"/>
        <w:ind w:firstLine="0" w:firstLineChars="0"/>
        <w:rPr>
          <w:rFonts w:ascii="华文仿宋" w:hAnsi="华文仿宋" w:cs="华文仿宋"/>
          <w:color w:val="auto"/>
          <w:sz w:val="36"/>
        </w:rPr>
      </w:pPr>
    </w:p>
    <w:p w14:paraId="7AAB5E24">
      <w:pPr>
        <w:pStyle w:val="45"/>
        <w:spacing w:line="240" w:lineRule="auto"/>
        <w:ind w:firstLine="0" w:firstLineChars="0"/>
        <w:jc w:val="center"/>
        <w:rPr>
          <w:rFonts w:ascii="华文中宋" w:hAnsi="华文中宋" w:eastAsia="华文中宋" w:cs="华文中宋"/>
          <w:color w:val="auto"/>
          <w:sz w:val="60"/>
          <w:szCs w:val="60"/>
        </w:rPr>
      </w:pPr>
      <w:bookmarkStart w:id="286" w:name="_Toc22682_WPSOffice_Level1"/>
      <w:r>
        <w:rPr>
          <w:rFonts w:hint="eastAsia" w:ascii="华文中宋" w:hAnsi="华文中宋" w:eastAsia="华文中宋" w:cs="华文中宋"/>
          <w:color w:val="auto"/>
          <w:sz w:val="60"/>
          <w:szCs w:val="60"/>
        </w:rPr>
        <w:t>陕西省政府采购</w:t>
      </w:r>
      <w:r>
        <w:rPr>
          <w:rFonts w:hint="eastAsia" w:ascii="华文中宋" w:hAnsi="华文中宋" w:eastAsia="华文中宋" w:cs="华文中宋"/>
          <w:color w:val="auto"/>
          <w:sz w:val="60"/>
          <w:szCs w:val="60"/>
          <w:lang w:val="en-US" w:eastAsia="zh-CN"/>
        </w:rPr>
        <w:t>货物和服务</w:t>
      </w:r>
      <w:r>
        <w:rPr>
          <w:rFonts w:hint="eastAsia" w:ascii="华文中宋" w:hAnsi="华文中宋" w:eastAsia="华文中宋" w:cs="华文中宋"/>
          <w:color w:val="auto"/>
          <w:sz w:val="60"/>
          <w:szCs w:val="60"/>
        </w:rPr>
        <w:t>项目</w:t>
      </w:r>
      <w:bookmarkEnd w:id="286"/>
    </w:p>
    <w:p w14:paraId="5FD2D390">
      <w:pPr>
        <w:pStyle w:val="45"/>
        <w:spacing w:line="240" w:lineRule="auto"/>
        <w:ind w:firstLine="0" w:firstLineChars="0"/>
        <w:rPr>
          <w:rFonts w:ascii="华文仿宋" w:hAnsi="华文仿宋" w:cs="华文仿宋"/>
          <w:color w:val="auto"/>
          <w:sz w:val="36"/>
        </w:rPr>
      </w:pPr>
    </w:p>
    <w:p w14:paraId="18207644">
      <w:pPr>
        <w:pStyle w:val="45"/>
        <w:spacing w:line="240" w:lineRule="auto"/>
        <w:ind w:firstLine="0" w:firstLineChars="0"/>
        <w:rPr>
          <w:rFonts w:ascii="华文仿宋" w:hAnsi="华文仿宋" w:cs="华文仿宋"/>
          <w:color w:val="auto"/>
          <w:sz w:val="36"/>
        </w:rPr>
      </w:pPr>
    </w:p>
    <w:p w14:paraId="146F1A7D">
      <w:pPr>
        <w:pStyle w:val="45"/>
        <w:spacing w:line="240" w:lineRule="auto"/>
        <w:ind w:firstLine="0" w:firstLineChars="0"/>
        <w:jc w:val="center"/>
        <w:rPr>
          <w:rFonts w:ascii="华文仿宋" w:hAnsi="华文仿宋" w:cs="华文仿宋"/>
          <w:color w:val="auto"/>
          <w:spacing w:val="323"/>
          <w:kern w:val="0"/>
          <w:sz w:val="96"/>
          <w:szCs w:val="96"/>
        </w:rPr>
      </w:pPr>
      <w:bookmarkStart w:id="287" w:name="_Toc21191_WPSOffice_Level1"/>
      <w:r>
        <w:rPr>
          <w:rFonts w:hint="eastAsia" w:ascii="华文仿宋" w:hAnsi="华文仿宋" w:cs="华文仿宋"/>
          <w:color w:val="auto"/>
          <w:spacing w:val="323"/>
          <w:kern w:val="0"/>
          <w:sz w:val="96"/>
          <w:szCs w:val="96"/>
        </w:rPr>
        <w:t>响应文件</w:t>
      </w:r>
      <w:bookmarkEnd w:id="287"/>
    </w:p>
    <w:p w14:paraId="32D981A4">
      <w:pPr>
        <w:pStyle w:val="45"/>
        <w:spacing w:line="240" w:lineRule="auto"/>
        <w:ind w:firstLine="0" w:firstLineChars="0"/>
        <w:rPr>
          <w:rFonts w:ascii="华文仿宋" w:hAnsi="华文仿宋" w:cs="华文仿宋"/>
          <w:color w:val="auto"/>
          <w:sz w:val="36"/>
        </w:rPr>
      </w:pPr>
    </w:p>
    <w:p w14:paraId="500FBF4B">
      <w:pPr>
        <w:pStyle w:val="45"/>
        <w:spacing w:line="240" w:lineRule="auto"/>
        <w:ind w:firstLine="0" w:firstLineChars="0"/>
        <w:rPr>
          <w:rFonts w:ascii="华文仿宋" w:hAnsi="华文仿宋" w:cs="华文仿宋"/>
          <w:color w:val="auto"/>
          <w:sz w:val="36"/>
        </w:rPr>
      </w:pPr>
    </w:p>
    <w:p w14:paraId="51EFE5F5">
      <w:pPr>
        <w:pStyle w:val="45"/>
        <w:spacing w:line="240" w:lineRule="auto"/>
        <w:ind w:firstLine="0" w:firstLineChars="0"/>
        <w:rPr>
          <w:rFonts w:ascii="华文仿宋" w:hAnsi="华文仿宋" w:cs="华文仿宋"/>
          <w:color w:val="auto"/>
          <w:sz w:val="36"/>
        </w:rPr>
      </w:pPr>
    </w:p>
    <w:p w14:paraId="683FC1A6">
      <w:pPr>
        <w:pStyle w:val="45"/>
        <w:spacing w:line="240" w:lineRule="auto"/>
        <w:ind w:firstLine="0" w:firstLineChars="0"/>
        <w:rPr>
          <w:rFonts w:ascii="华文仿宋" w:hAnsi="华文仿宋" w:cs="华文仿宋"/>
          <w:color w:val="auto"/>
          <w:sz w:val="36"/>
        </w:rPr>
      </w:pPr>
    </w:p>
    <w:p w14:paraId="1C9EC5FB">
      <w:pPr>
        <w:pStyle w:val="45"/>
        <w:spacing w:line="240" w:lineRule="auto"/>
        <w:ind w:firstLine="1452" w:firstLineChars="400"/>
        <w:rPr>
          <w:rFonts w:ascii="仿宋" w:hAnsi="仿宋" w:eastAsia="仿宋" w:cs="仿宋"/>
          <w:bCs/>
          <w:color w:val="auto"/>
          <w:sz w:val="36"/>
          <w:szCs w:val="36"/>
          <w:u w:val="single"/>
        </w:rPr>
      </w:pPr>
      <w:bookmarkStart w:id="288" w:name="_Toc660_WPSOffice_Level1"/>
      <w:r>
        <w:rPr>
          <w:rFonts w:hint="eastAsia" w:ascii="仿宋" w:hAnsi="仿宋" w:eastAsia="仿宋" w:cs="仿宋"/>
          <w:bCs/>
          <w:color w:val="auto"/>
          <w:sz w:val="36"/>
          <w:szCs w:val="36"/>
        </w:rPr>
        <w:t>项目名称：</w:t>
      </w:r>
      <w:bookmarkEnd w:id="288"/>
      <w:r>
        <w:rPr>
          <w:rFonts w:hint="eastAsia" w:ascii="仿宋" w:hAnsi="仿宋" w:eastAsia="仿宋" w:cs="仿宋"/>
          <w:bCs/>
          <w:color w:val="auto"/>
          <w:sz w:val="36"/>
          <w:szCs w:val="36"/>
          <w:u w:val="single"/>
        </w:rPr>
        <w:t xml:space="preserve">             </w:t>
      </w:r>
    </w:p>
    <w:p w14:paraId="53021CB1">
      <w:pPr>
        <w:pStyle w:val="45"/>
        <w:spacing w:line="240" w:lineRule="auto"/>
        <w:ind w:firstLine="1452" w:firstLineChars="400"/>
        <w:rPr>
          <w:rFonts w:ascii="仿宋" w:hAnsi="仿宋" w:eastAsia="仿宋" w:cs="仿宋"/>
          <w:bCs/>
          <w:color w:val="auto"/>
          <w:sz w:val="36"/>
          <w:szCs w:val="36"/>
          <w:u w:val="single"/>
        </w:rPr>
      </w:pPr>
      <w:bookmarkStart w:id="289" w:name="_Toc15325_WPSOffice_Level1"/>
      <w:r>
        <w:rPr>
          <w:rFonts w:hint="eastAsia" w:ascii="仿宋" w:hAnsi="仿宋" w:eastAsia="仿宋" w:cs="仿宋"/>
          <w:bCs/>
          <w:color w:val="auto"/>
          <w:sz w:val="36"/>
          <w:szCs w:val="36"/>
        </w:rPr>
        <w:t>项目编号：</w:t>
      </w:r>
      <w:bookmarkEnd w:id="289"/>
      <w:r>
        <w:rPr>
          <w:rFonts w:hint="eastAsia" w:ascii="仿宋" w:hAnsi="仿宋" w:eastAsia="仿宋" w:cs="仿宋"/>
          <w:bCs/>
          <w:color w:val="auto"/>
          <w:sz w:val="36"/>
          <w:szCs w:val="36"/>
          <w:u w:val="single"/>
        </w:rPr>
        <w:t xml:space="preserve">             </w:t>
      </w:r>
    </w:p>
    <w:p w14:paraId="72D3AA69">
      <w:pPr>
        <w:pStyle w:val="45"/>
        <w:spacing w:line="240" w:lineRule="auto"/>
        <w:ind w:firstLine="1452" w:firstLineChars="400"/>
        <w:rPr>
          <w:rFonts w:ascii="仿宋" w:hAnsi="仿宋" w:eastAsia="仿宋" w:cs="仿宋"/>
          <w:bCs/>
          <w:color w:val="auto"/>
          <w:sz w:val="36"/>
          <w:szCs w:val="36"/>
        </w:rPr>
      </w:pPr>
      <w:bookmarkStart w:id="290" w:name="_Toc20093_WPSOffice_Level1"/>
      <w:r>
        <w:rPr>
          <w:rFonts w:hint="eastAsia" w:ascii="仿宋" w:hAnsi="仿宋" w:eastAsia="仿宋" w:cs="仿宋"/>
          <w:bCs/>
          <w:color w:val="auto"/>
          <w:sz w:val="36"/>
          <w:szCs w:val="36"/>
        </w:rPr>
        <w:t>供</w:t>
      </w:r>
      <w:r>
        <w:rPr>
          <w:rFonts w:hint="eastAsia" w:ascii="仿宋" w:hAnsi="仿宋" w:eastAsia="仿宋" w:cs="仿宋"/>
          <w:bCs/>
          <w:color w:val="auto"/>
          <w:sz w:val="36"/>
          <w:szCs w:val="36"/>
          <w:lang w:val="en-US" w:eastAsia="zh-CN"/>
        </w:rPr>
        <w:t xml:space="preserve"> </w:t>
      </w:r>
      <w:r>
        <w:rPr>
          <w:rFonts w:hint="eastAsia" w:ascii="仿宋" w:hAnsi="仿宋" w:eastAsia="仿宋" w:cs="仿宋"/>
          <w:bCs/>
          <w:color w:val="auto"/>
          <w:sz w:val="36"/>
          <w:szCs w:val="36"/>
        </w:rPr>
        <w:t>应</w:t>
      </w:r>
      <w:r>
        <w:rPr>
          <w:rFonts w:hint="eastAsia" w:ascii="仿宋" w:hAnsi="仿宋" w:eastAsia="仿宋" w:cs="仿宋"/>
          <w:bCs/>
          <w:color w:val="auto"/>
          <w:sz w:val="36"/>
          <w:szCs w:val="36"/>
          <w:lang w:val="en-US" w:eastAsia="zh-CN"/>
        </w:rPr>
        <w:t xml:space="preserve"> </w:t>
      </w:r>
      <w:r>
        <w:rPr>
          <w:rFonts w:hint="eastAsia" w:ascii="仿宋" w:hAnsi="仿宋" w:eastAsia="仿宋" w:cs="仿宋"/>
          <w:bCs/>
          <w:color w:val="auto"/>
          <w:sz w:val="36"/>
          <w:szCs w:val="36"/>
        </w:rPr>
        <w:t>商：</w:t>
      </w:r>
      <w:r>
        <w:rPr>
          <w:rFonts w:hint="eastAsia" w:ascii="仿宋" w:hAnsi="仿宋" w:eastAsia="仿宋" w:cs="仿宋"/>
          <w:bCs/>
          <w:color w:val="auto"/>
          <w:sz w:val="36"/>
          <w:szCs w:val="36"/>
          <w:u w:val="single"/>
        </w:rPr>
        <w:t xml:space="preserve">             </w:t>
      </w:r>
      <w:r>
        <w:rPr>
          <w:rFonts w:hint="eastAsia" w:ascii="仿宋" w:hAnsi="仿宋" w:eastAsia="仿宋" w:cs="仿宋"/>
          <w:bCs/>
          <w:color w:val="auto"/>
          <w:sz w:val="36"/>
          <w:szCs w:val="36"/>
        </w:rPr>
        <w:t>（公章）</w:t>
      </w:r>
      <w:bookmarkEnd w:id="290"/>
    </w:p>
    <w:p w14:paraId="5E6C6F0A">
      <w:pPr>
        <w:pStyle w:val="45"/>
        <w:spacing w:line="240" w:lineRule="auto"/>
        <w:ind w:firstLine="1452" w:firstLineChars="400"/>
        <w:rPr>
          <w:rFonts w:ascii="仿宋" w:hAnsi="仿宋" w:eastAsia="仿宋" w:cs="仿宋"/>
          <w:bCs/>
          <w:color w:val="auto"/>
          <w:sz w:val="36"/>
          <w:szCs w:val="36"/>
          <w:u w:val="single"/>
        </w:rPr>
      </w:pPr>
      <w:bookmarkStart w:id="291" w:name="_Toc22753_WPSOffice_Level1"/>
      <w:r>
        <w:rPr>
          <w:rFonts w:hint="eastAsia" w:ascii="仿宋" w:hAnsi="仿宋" w:eastAsia="仿宋" w:cs="仿宋"/>
          <w:bCs/>
          <w:color w:val="auto"/>
          <w:sz w:val="36"/>
          <w:szCs w:val="36"/>
        </w:rPr>
        <w:t>时　</w:t>
      </w:r>
      <w:r>
        <w:rPr>
          <w:rFonts w:hint="eastAsia" w:ascii="仿宋" w:hAnsi="仿宋" w:eastAsia="仿宋" w:cs="仿宋"/>
          <w:bCs/>
          <w:color w:val="auto"/>
          <w:sz w:val="36"/>
          <w:szCs w:val="36"/>
          <w:lang w:val="en-US" w:eastAsia="zh-CN"/>
        </w:rPr>
        <w:t xml:space="preserve">  </w:t>
      </w:r>
      <w:r>
        <w:rPr>
          <w:rFonts w:hint="eastAsia" w:ascii="仿宋" w:hAnsi="仿宋" w:eastAsia="仿宋" w:cs="仿宋"/>
          <w:bCs/>
          <w:color w:val="auto"/>
          <w:sz w:val="36"/>
          <w:szCs w:val="36"/>
        </w:rPr>
        <w:t>间：</w:t>
      </w:r>
      <w:bookmarkEnd w:id="291"/>
      <w:r>
        <w:rPr>
          <w:rFonts w:hint="eastAsia" w:ascii="仿宋" w:hAnsi="仿宋" w:eastAsia="仿宋" w:cs="仿宋"/>
          <w:bCs/>
          <w:color w:val="auto"/>
          <w:sz w:val="36"/>
          <w:szCs w:val="36"/>
          <w:u w:val="single"/>
        </w:rPr>
        <w:t xml:space="preserve">             </w:t>
      </w:r>
    </w:p>
    <w:p w14:paraId="685451C3">
      <w:pPr>
        <w:pStyle w:val="45"/>
        <w:spacing w:line="240" w:lineRule="auto"/>
        <w:ind w:firstLine="1698" w:firstLineChars="468"/>
        <w:rPr>
          <w:rFonts w:ascii="华文仿宋" w:hAnsi="华文仿宋" w:cs="华文仿宋"/>
          <w:color w:val="auto"/>
          <w:sz w:val="36"/>
        </w:rPr>
      </w:pPr>
    </w:p>
    <w:p w14:paraId="620E5C6E">
      <w:pPr>
        <w:pStyle w:val="45"/>
        <w:spacing w:line="240" w:lineRule="auto"/>
        <w:ind w:firstLine="1698" w:firstLineChars="468"/>
        <w:rPr>
          <w:rFonts w:ascii="华文仿宋" w:hAnsi="华文仿宋" w:cs="华文仿宋"/>
          <w:color w:val="auto"/>
          <w:sz w:val="36"/>
        </w:rPr>
      </w:pPr>
    </w:p>
    <w:p w14:paraId="31C8E991">
      <w:pPr>
        <w:pStyle w:val="45"/>
        <w:spacing w:line="240" w:lineRule="auto"/>
        <w:ind w:firstLine="0" w:firstLineChars="0"/>
        <w:rPr>
          <w:rFonts w:ascii="华文仿宋" w:hAnsi="华文仿宋" w:cs="华文仿宋"/>
          <w:color w:val="auto"/>
          <w:sz w:val="36"/>
        </w:rPr>
      </w:pPr>
    </w:p>
    <w:p w14:paraId="31D208C2">
      <w:pPr>
        <w:jc w:val="center"/>
        <w:rPr>
          <w:b/>
          <w:bCs/>
          <w:sz w:val="44"/>
          <w:szCs w:val="44"/>
        </w:rPr>
      </w:pPr>
      <w:bookmarkStart w:id="292" w:name="_Toc10193"/>
      <w:bookmarkStart w:id="293" w:name="_Toc3942"/>
      <w:bookmarkStart w:id="294" w:name="_Toc1873"/>
      <w:bookmarkStart w:id="295" w:name="_Toc10276"/>
      <w:bookmarkStart w:id="296" w:name="_Toc24906"/>
      <w:bookmarkStart w:id="297" w:name="_Toc27651"/>
      <w:r>
        <w:rPr>
          <w:rFonts w:hint="eastAsia"/>
          <w:b/>
          <w:bCs/>
          <w:sz w:val="44"/>
          <w:szCs w:val="44"/>
        </w:rPr>
        <w:t>目  录</w:t>
      </w:r>
      <w:bookmarkEnd w:id="282"/>
      <w:bookmarkEnd w:id="283"/>
      <w:bookmarkEnd w:id="284"/>
      <w:bookmarkEnd w:id="285"/>
      <w:bookmarkEnd w:id="292"/>
      <w:bookmarkEnd w:id="293"/>
      <w:bookmarkEnd w:id="294"/>
      <w:bookmarkEnd w:id="295"/>
      <w:bookmarkEnd w:id="296"/>
      <w:bookmarkEnd w:id="297"/>
    </w:p>
    <w:p w14:paraId="374B02B5">
      <w:pPr>
        <w:tabs>
          <w:tab w:val="right" w:leader="hyphen" w:pos="8504"/>
        </w:tabs>
        <w:spacing w:line="500" w:lineRule="exact"/>
        <w:ind w:left="1981" w:leftChars="200" w:right="849" w:rightChars="300" w:hanging="1415" w:hangingChars="500"/>
        <w:rPr>
          <w:rFonts w:ascii="黑体" w:hAnsi="黑体" w:eastAsia="黑体" w:cs="黑体"/>
          <w:color w:val="auto"/>
        </w:rPr>
      </w:pPr>
      <w:bookmarkStart w:id="298" w:name="_Toc19993_WPSOffice_Level1"/>
      <w:bookmarkStart w:id="299" w:name="_Toc25537_WPSOffice_Level1"/>
      <w:bookmarkStart w:id="300" w:name="_Toc26192_WPSOffice_Level1"/>
      <w:bookmarkStart w:id="301" w:name="_Toc8294_WPSOffice_Level1"/>
      <w:r>
        <w:rPr>
          <w:rFonts w:hint="eastAsia" w:ascii="黑体" w:hAnsi="黑体" w:eastAsia="黑体" w:cs="黑体"/>
          <w:color w:val="auto"/>
        </w:rPr>
        <w:t>第一部分  资格证明文件</w:t>
      </w:r>
      <w:r>
        <w:rPr>
          <w:rFonts w:hint="eastAsia" w:ascii="黑体" w:hAnsi="黑体" w:eastAsia="黑体" w:cs="黑体"/>
          <w:color w:val="auto"/>
        </w:rPr>
        <w:tab/>
      </w:r>
      <w:r>
        <w:rPr>
          <w:rFonts w:hint="eastAsia" w:ascii="黑体" w:hAnsi="黑体" w:eastAsia="黑体" w:cs="黑体"/>
          <w:color w:val="auto"/>
        </w:rPr>
        <w:t>X</w:t>
      </w:r>
      <w:bookmarkEnd w:id="298"/>
      <w:bookmarkEnd w:id="299"/>
      <w:bookmarkEnd w:id="300"/>
      <w:bookmarkEnd w:id="301"/>
    </w:p>
    <w:p w14:paraId="669A7B57">
      <w:pPr>
        <w:tabs>
          <w:tab w:val="right" w:leader="hyphen" w:pos="8504"/>
        </w:tabs>
        <w:spacing w:line="500" w:lineRule="exact"/>
        <w:ind w:left="1981" w:leftChars="200" w:right="849" w:rightChars="300" w:hanging="1415" w:hangingChars="500"/>
        <w:rPr>
          <w:color w:val="auto"/>
        </w:rPr>
      </w:pPr>
      <w:r>
        <w:rPr>
          <w:color w:val="auto"/>
        </w:rPr>
        <w:t>　　　</w:t>
      </w:r>
      <w:bookmarkStart w:id="302" w:name="_Toc14464_WPSOffice_Level2"/>
      <w:bookmarkStart w:id="303" w:name="_Toc31082_WPSOffice_Level2"/>
      <w:bookmarkStart w:id="304" w:name="_Toc25969_WPSOffice_Level2"/>
      <w:bookmarkStart w:id="305" w:name="_Toc19993_WPSOffice_Level2"/>
      <w:r>
        <w:rPr>
          <w:rFonts w:hint="eastAsia"/>
          <w:color w:val="auto"/>
        </w:rPr>
        <w:t>一、营业执照等主体资格证明文件</w:t>
      </w:r>
      <w:r>
        <w:rPr>
          <w:color w:val="auto"/>
        </w:rPr>
        <w:tab/>
      </w:r>
      <w:r>
        <w:rPr>
          <w:color w:val="auto"/>
        </w:rPr>
        <w:t>X</w:t>
      </w:r>
      <w:bookmarkEnd w:id="302"/>
      <w:bookmarkEnd w:id="303"/>
      <w:bookmarkEnd w:id="304"/>
      <w:bookmarkEnd w:id="305"/>
    </w:p>
    <w:p w14:paraId="5AFABF72">
      <w:pPr>
        <w:tabs>
          <w:tab w:val="right" w:leader="hyphen" w:pos="8504"/>
        </w:tabs>
        <w:spacing w:line="500" w:lineRule="exact"/>
        <w:ind w:right="849" w:rightChars="300" w:firstLine="1415" w:firstLineChars="500"/>
        <w:rPr>
          <w:color w:val="auto"/>
        </w:rPr>
      </w:pPr>
      <w:bookmarkStart w:id="306" w:name="_Toc10078_WPSOffice_Level2"/>
      <w:bookmarkStart w:id="307" w:name="_Toc25537_WPSOffice_Level2"/>
      <w:bookmarkStart w:id="308" w:name="_Toc27026_WPSOffice_Level2"/>
      <w:bookmarkStart w:id="309" w:name="_Toc5830_WPSOffice_Level2"/>
      <w:r>
        <w:rPr>
          <w:rFonts w:hint="eastAsia"/>
          <w:color w:val="auto"/>
        </w:rPr>
        <w:t>二、财务状况报告</w:t>
      </w:r>
      <w:r>
        <w:rPr>
          <w:color w:val="auto"/>
        </w:rPr>
        <w:tab/>
      </w:r>
      <w:r>
        <w:rPr>
          <w:color w:val="auto"/>
        </w:rPr>
        <w:t>X</w:t>
      </w:r>
      <w:bookmarkEnd w:id="306"/>
      <w:bookmarkEnd w:id="307"/>
      <w:bookmarkEnd w:id="308"/>
      <w:bookmarkEnd w:id="309"/>
    </w:p>
    <w:p w14:paraId="368835F6">
      <w:pPr>
        <w:tabs>
          <w:tab w:val="right" w:leader="hyphen" w:pos="8504"/>
        </w:tabs>
        <w:spacing w:line="500" w:lineRule="exact"/>
        <w:ind w:right="849" w:rightChars="300" w:firstLine="1415" w:firstLineChars="500"/>
        <w:rPr>
          <w:color w:val="auto"/>
        </w:rPr>
      </w:pPr>
      <w:bookmarkStart w:id="310" w:name="_Toc17853_WPSOffice_Level2"/>
      <w:bookmarkStart w:id="311" w:name="_Toc30252_WPSOffice_Level2"/>
      <w:bookmarkStart w:id="312" w:name="_Toc22808_WPSOffice_Level2"/>
      <w:bookmarkStart w:id="313" w:name="_Toc6392_WPSOffice_Level2"/>
      <w:r>
        <w:rPr>
          <w:rFonts w:hint="eastAsia"/>
          <w:color w:val="auto"/>
        </w:rPr>
        <w:t>三、社保缴纳证明</w:t>
      </w:r>
      <w:r>
        <w:rPr>
          <w:color w:val="auto"/>
        </w:rPr>
        <w:tab/>
      </w:r>
      <w:r>
        <w:rPr>
          <w:color w:val="auto"/>
        </w:rPr>
        <w:t>X</w:t>
      </w:r>
      <w:bookmarkEnd w:id="310"/>
      <w:bookmarkEnd w:id="311"/>
      <w:bookmarkEnd w:id="312"/>
      <w:bookmarkEnd w:id="313"/>
    </w:p>
    <w:p w14:paraId="1ADB5B59">
      <w:pPr>
        <w:tabs>
          <w:tab w:val="right" w:leader="hyphen" w:pos="8504"/>
        </w:tabs>
        <w:spacing w:line="500" w:lineRule="exact"/>
        <w:ind w:right="849" w:rightChars="300" w:firstLine="1415" w:firstLineChars="500"/>
        <w:rPr>
          <w:color w:val="auto"/>
        </w:rPr>
      </w:pPr>
      <w:bookmarkStart w:id="314" w:name="_Toc6376_WPSOffice_Level2"/>
      <w:bookmarkStart w:id="315" w:name="_Toc26939_WPSOffice_Level2"/>
      <w:bookmarkStart w:id="316" w:name="_Toc25958_WPSOffice_Level2"/>
      <w:bookmarkStart w:id="317" w:name="_Toc27464_WPSOffice_Level2"/>
      <w:r>
        <w:rPr>
          <w:rFonts w:hint="eastAsia"/>
          <w:color w:val="auto"/>
        </w:rPr>
        <w:t>四、税收缴纳证明</w:t>
      </w:r>
      <w:r>
        <w:rPr>
          <w:color w:val="auto"/>
        </w:rPr>
        <w:tab/>
      </w:r>
      <w:r>
        <w:rPr>
          <w:color w:val="auto"/>
        </w:rPr>
        <w:t>X</w:t>
      </w:r>
      <w:bookmarkEnd w:id="314"/>
      <w:bookmarkEnd w:id="315"/>
      <w:bookmarkEnd w:id="316"/>
      <w:bookmarkEnd w:id="317"/>
    </w:p>
    <w:p w14:paraId="346DB4B7">
      <w:pPr>
        <w:tabs>
          <w:tab w:val="right" w:leader="hyphen" w:pos="8504"/>
        </w:tabs>
        <w:spacing w:line="500" w:lineRule="exact"/>
        <w:ind w:right="849" w:rightChars="300" w:firstLine="1415" w:firstLineChars="500"/>
        <w:rPr>
          <w:rFonts w:hint="default" w:eastAsia="华文仿宋"/>
          <w:color w:val="auto"/>
          <w:lang w:val="en-US" w:eastAsia="zh-CN"/>
        </w:rPr>
      </w:pPr>
      <w:bookmarkStart w:id="318" w:name="_Toc10792_WPSOffice_Level2"/>
      <w:bookmarkStart w:id="319" w:name="_Toc3534_WPSOffice_Level2"/>
      <w:bookmarkStart w:id="320" w:name="_Toc25801_WPSOffice_Level2"/>
      <w:bookmarkStart w:id="321" w:name="_Toc17511_WPSOffice_Level2"/>
      <w:r>
        <w:rPr>
          <w:rFonts w:hint="eastAsia"/>
          <w:color w:val="auto"/>
        </w:rPr>
        <w:t>五、</w:t>
      </w:r>
      <w:r>
        <w:rPr>
          <w:rFonts w:hint="eastAsia"/>
          <w:color w:val="auto"/>
          <w:lang w:val="en-US" w:eastAsia="zh-CN"/>
        </w:rPr>
        <w:t>信用记录</w:t>
      </w:r>
      <w:r>
        <w:rPr>
          <w:color w:val="auto"/>
        </w:rPr>
        <w:tab/>
      </w:r>
      <w:r>
        <w:rPr>
          <w:color w:val="auto"/>
        </w:rPr>
        <w:t>X</w:t>
      </w:r>
    </w:p>
    <w:p w14:paraId="58A8E0BA">
      <w:pPr>
        <w:tabs>
          <w:tab w:val="right" w:leader="hyphen" w:pos="8504"/>
        </w:tabs>
        <w:spacing w:line="500" w:lineRule="exact"/>
        <w:ind w:right="849" w:rightChars="300" w:firstLine="1415" w:firstLineChars="500"/>
        <w:rPr>
          <w:rFonts w:hint="default"/>
          <w:color w:val="auto"/>
          <w:lang w:val="en-US" w:eastAsia="zh-CN"/>
        </w:rPr>
      </w:pPr>
      <w:r>
        <w:rPr>
          <w:rFonts w:hint="eastAsia"/>
          <w:color w:val="auto"/>
          <w:lang w:val="en-US" w:eastAsia="zh-CN"/>
        </w:rPr>
        <w:t>六、控股管理关系</w:t>
      </w:r>
      <w:r>
        <w:rPr>
          <w:color w:val="auto"/>
        </w:rPr>
        <w:tab/>
      </w:r>
      <w:r>
        <w:rPr>
          <w:color w:val="auto"/>
        </w:rPr>
        <w:t>X</w:t>
      </w:r>
    </w:p>
    <w:p w14:paraId="00683450">
      <w:pPr>
        <w:tabs>
          <w:tab w:val="right" w:leader="hyphen" w:pos="8504"/>
        </w:tabs>
        <w:spacing w:line="500" w:lineRule="exact"/>
        <w:ind w:right="849" w:rightChars="300" w:firstLine="1415" w:firstLineChars="500"/>
        <w:rPr>
          <w:color w:val="auto"/>
        </w:rPr>
      </w:pPr>
      <w:r>
        <w:rPr>
          <w:rFonts w:hint="eastAsia"/>
          <w:color w:val="auto"/>
          <w:lang w:val="en-US" w:eastAsia="zh-CN"/>
        </w:rPr>
        <w:t>七、</w:t>
      </w:r>
      <w:r>
        <w:rPr>
          <w:color w:val="auto"/>
        </w:rPr>
        <w:t>书面声明</w:t>
      </w:r>
      <w:r>
        <w:rPr>
          <w:color w:val="auto"/>
        </w:rPr>
        <w:tab/>
      </w:r>
      <w:r>
        <w:rPr>
          <w:color w:val="auto"/>
        </w:rPr>
        <w:t>X</w:t>
      </w:r>
      <w:bookmarkEnd w:id="318"/>
      <w:bookmarkEnd w:id="319"/>
      <w:bookmarkEnd w:id="320"/>
      <w:bookmarkEnd w:id="321"/>
    </w:p>
    <w:p w14:paraId="34BEA935">
      <w:pPr>
        <w:tabs>
          <w:tab w:val="right" w:leader="hyphen" w:pos="8504"/>
        </w:tabs>
        <w:spacing w:line="500" w:lineRule="exact"/>
        <w:ind w:left="1981" w:leftChars="200" w:right="849" w:rightChars="300" w:hanging="1415" w:hangingChars="500"/>
        <w:rPr>
          <w:color w:val="auto"/>
        </w:rPr>
      </w:pPr>
      <w:r>
        <w:rPr>
          <w:color w:val="auto"/>
        </w:rPr>
        <w:t>　　　</w:t>
      </w:r>
      <w:bookmarkStart w:id="322" w:name="_Toc12145_WPSOffice_Level2"/>
      <w:bookmarkStart w:id="323" w:name="_Toc5115_WPSOffice_Level2"/>
      <w:bookmarkStart w:id="324" w:name="_Toc21196_WPSOffice_Level2"/>
      <w:bookmarkStart w:id="325" w:name="_Toc17236_WPSOffice_Level2"/>
      <w:r>
        <w:rPr>
          <w:rFonts w:hint="eastAsia"/>
          <w:color w:val="auto"/>
          <w:lang w:val="en-US" w:eastAsia="zh-CN"/>
        </w:rPr>
        <w:t>八</w:t>
      </w:r>
      <w:r>
        <w:rPr>
          <w:rFonts w:hint="eastAsia"/>
          <w:color w:val="auto"/>
        </w:rPr>
        <w:t>、</w:t>
      </w:r>
      <w:r>
        <w:rPr>
          <w:color w:val="auto"/>
        </w:rPr>
        <w:t>法定代表人授权委托书</w:t>
      </w:r>
      <w:r>
        <w:rPr>
          <w:color w:val="auto"/>
        </w:rPr>
        <w:tab/>
      </w:r>
      <w:r>
        <w:rPr>
          <w:color w:val="auto"/>
        </w:rPr>
        <w:t>X</w:t>
      </w:r>
    </w:p>
    <w:p w14:paraId="52692CD9">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566" w:leftChars="200" w:right="849" w:rightChars="300" w:firstLine="849" w:firstLineChars="300"/>
        <w:textAlignment w:val="auto"/>
        <w:rPr>
          <w:rFonts w:hint="eastAsia"/>
          <w:color w:val="auto"/>
          <w:lang w:val="en-US" w:eastAsia="zh-CN"/>
        </w:rPr>
      </w:pPr>
      <w:r>
        <w:rPr>
          <w:rFonts w:hint="eastAsia"/>
          <w:color w:val="auto"/>
          <w:lang w:val="en-US" w:eastAsia="zh-CN"/>
        </w:rPr>
        <w:t>九</w:t>
      </w:r>
      <w:r>
        <w:rPr>
          <w:rFonts w:hint="eastAsia"/>
          <w:color w:val="auto"/>
        </w:rPr>
        <w:t>、</w:t>
      </w:r>
      <w:r>
        <w:rPr>
          <w:rFonts w:hint="eastAsia"/>
          <w:color w:val="auto"/>
          <w:lang w:val="en-US" w:eastAsia="zh-CN"/>
        </w:rPr>
        <w:t>落实的政府采购政策要求</w:t>
      </w:r>
      <w:r>
        <w:rPr>
          <w:color w:val="auto"/>
        </w:rPr>
        <w:tab/>
      </w:r>
      <w:r>
        <w:rPr>
          <w:color w:val="auto"/>
        </w:rPr>
        <w:t>X</w:t>
      </w:r>
    </w:p>
    <w:p w14:paraId="1FF58F6C">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566" w:leftChars="200" w:right="849" w:rightChars="300" w:firstLine="849" w:firstLineChars="300"/>
        <w:textAlignment w:val="auto"/>
        <w:rPr>
          <w:color w:val="auto"/>
        </w:rPr>
      </w:pPr>
      <w:r>
        <w:rPr>
          <w:rFonts w:hint="eastAsia"/>
          <w:color w:val="auto"/>
          <w:lang w:val="en-US" w:eastAsia="zh-CN"/>
        </w:rPr>
        <w:t>十、</w:t>
      </w:r>
      <w:r>
        <w:rPr>
          <w:rFonts w:hint="eastAsia"/>
          <w:b w:val="0"/>
          <w:bCs/>
        </w:rPr>
        <w:t>特定资格要求</w:t>
      </w:r>
      <w:r>
        <w:rPr>
          <w:color w:val="auto"/>
        </w:rPr>
        <w:tab/>
      </w:r>
      <w:r>
        <w:rPr>
          <w:color w:val="auto"/>
        </w:rPr>
        <w:t>X</w:t>
      </w:r>
    </w:p>
    <w:p w14:paraId="5C142771">
      <w:pPr>
        <w:keepNext w:val="0"/>
        <w:keepLines w:val="0"/>
        <w:pageBreakBefore w:val="0"/>
        <w:widowControl/>
        <w:tabs>
          <w:tab w:val="right" w:leader="hyphen" w:pos="8504"/>
        </w:tabs>
        <w:kinsoku/>
        <w:wordWrap/>
        <w:overflowPunct/>
        <w:topLinePunct w:val="0"/>
        <w:autoSpaceDE/>
        <w:autoSpaceDN/>
        <w:bidi w:val="0"/>
        <w:adjustRightInd/>
        <w:snapToGrid/>
        <w:spacing w:line="500" w:lineRule="exact"/>
        <w:ind w:left="566" w:leftChars="200" w:right="849" w:rightChars="300" w:firstLine="849" w:firstLineChars="300"/>
        <w:textAlignment w:val="auto"/>
        <w:rPr>
          <w:color w:val="auto"/>
        </w:rPr>
      </w:pPr>
      <w:r>
        <w:rPr>
          <w:rFonts w:hint="eastAsia"/>
          <w:color w:val="auto"/>
          <w:lang w:val="en-US" w:eastAsia="zh-CN"/>
        </w:rPr>
        <w:t>十一、不接受联合体投标不允许分包</w:t>
      </w:r>
      <w:r>
        <w:rPr>
          <w:color w:val="auto"/>
        </w:rPr>
        <w:tab/>
      </w:r>
      <w:r>
        <w:rPr>
          <w:color w:val="auto"/>
        </w:rPr>
        <w:t>X</w:t>
      </w:r>
    </w:p>
    <w:bookmarkEnd w:id="322"/>
    <w:bookmarkEnd w:id="323"/>
    <w:bookmarkEnd w:id="324"/>
    <w:bookmarkEnd w:id="325"/>
    <w:p w14:paraId="311959AE">
      <w:pPr>
        <w:tabs>
          <w:tab w:val="right" w:leader="hyphen" w:pos="8504"/>
        </w:tabs>
        <w:spacing w:line="500" w:lineRule="exact"/>
        <w:ind w:left="1981" w:leftChars="200" w:right="849" w:rightChars="300" w:hanging="1415" w:hangingChars="500"/>
        <w:rPr>
          <w:rFonts w:ascii="黑体" w:hAnsi="黑体" w:eastAsia="黑体" w:cs="黑体"/>
          <w:color w:val="auto"/>
        </w:rPr>
      </w:pPr>
      <w:bookmarkStart w:id="326" w:name="_Toc22849_WPSOffice_Level1"/>
      <w:bookmarkStart w:id="327" w:name="_Toc28184_WPSOffice_Level1"/>
      <w:bookmarkStart w:id="328" w:name="_Toc30252_WPSOffice_Level1"/>
      <w:bookmarkStart w:id="329" w:name="_Toc27026_WPSOffice_Level1"/>
      <w:r>
        <w:rPr>
          <w:rFonts w:hint="eastAsia" w:ascii="黑体" w:hAnsi="黑体" w:eastAsia="黑体" w:cs="黑体"/>
          <w:color w:val="auto"/>
        </w:rPr>
        <w:t>第二部分  符合性证明文件</w:t>
      </w:r>
      <w:r>
        <w:rPr>
          <w:color w:val="auto"/>
        </w:rPr>
        <w:tab/>
      </w:r>
      <w:r>
        <w:rPr>
          <w:color w:val="auto"/>
        </w:rPr>
        <w:t>X</w:t>
      </w:r>
      <w:bookmarkEnd w:id="326"/>
      <w:bookmarkEnd w:id="327"/>
      <w:bookmarkEnd w:id="328"/>
      <w:bookmarkEnd w:id="329"/>
    </w:p>
    <w:p w14:paraId="1F93DA51">
      <w:pPr>
        <w:tabs>
          <w:tab w:val="right" w:leader="hyphen" w:pos="8504"/>
        </w:tabs>
        <w:spacing w:line="500" w:lineRule="exact"/>
        <w:ind w:right="849" w:rightChars="300" w:firstLine="1415" w:firstLineChars="500"/>
        <w:rPr>
          <w:color w:val="auto"/>
        </w:rPr>
      </w:pPr>
      <w:bookmarkStart w:id="330" w:name="_Toc5795_WPSOffice_Level2"/>
      <w:bookmarkStart w:id="331" w:name="_Toc28631_WPSOffice_Level2"/>
      <w:bookmarkStart w:id="332" w:name="_Toc183_WPSOffice_Level2"/>
      <w:bookmarkStart w:id="333" w:name="_Toc7348_WPSOffice_Level2"/>
      <w:r>
        <w:rPr>
          <w:rFonts w:hint="eastAsia"/>
          <w:color w:val="auto"/>
        </w:rPr>
        <w:t>一、响应</w:t>
      </w:r>
      <w:r>
        <w:rPr>
          <w:color w:val="auto"/>
        </w:rPr>
        <w:t>函</w:t>
      </w:r>
      <w:r>
        <w:rPr>
          <w:rFonts w:hint="eastAsia"/>
          <w:color w:val="auto"/>
        </w:rPr>
        <w:t>格式</w:t>
      </w:r>
      <w:r>
        <w:rPr>
          <w:color w:val="auto"/>
        </w:rPr>
        <w:tab/>
      </w:r>
      <w:r>
        <w:rPr>
          <w:color w:val="auto"/>
        </w:rPr>
        <w:t>X</w:t>
      </w:r>
      <w:bookmarkEnd w:id="330"/>
      <w:bookmarkEnd w:id="331"/>
      <w:bookmarkEnd w:id="332"/>
      <w:bookmarkEnd w:id="333"/>
    </w:p>
    <w:p w14:paraId="6B8CE20F">
      <w:pPr>
        <w:tabs>
          <w:tab w:val="right" w:leader="hyphen" w:pos="8504"/>
        </w:tabs>
        <w:spacing w:line="500" w:lineRule="exact"/>
        <w:ind w:left="1981" w:leftChars="200" w:right="849" w:rightChars="300" w:hanging="1415" w:hangingChars="500"/>
        <w:rPr>
          <w:color w:val="auto"/>
        </w:rPr>
      </w:pPr>
      <w:r>
        <w:rPr>
          <w:color w:val="auto"/>
        </w:rPr>
        <w:t xml:space="preserve">  </w:t>
      </w:r>
      <w:r>
        <w:rPr>
          <w:rFonts w:hint="eastAsia"/>
          <w:color w:val="auto"/>
        </w:rPr>
        <w:t xml:space="preserve">    </w:t>
      </w:r>
      <w:bookmarkStart w:id="334" w:name="_Toc27223_WPSOffice_Level2"/>
      <w:bookmarkStart w:id="335" w:name="_Toc9021_WPSOffice_Level2"/>
      <w:bookmarkStart w:id="336" w:name="_Toc8116_WPSOffice_Level2"/>
      <w:bookmarkStart w:id="337" w:name="_Toc1168_WPSOffice_Level2"/>
      <w:r>
        <w:rPr>
          <w:rFonts w:hint="eastAsia"/>
          <w:color w:val="auto"/>
        </w:rPr>
        <w:t>二、第一次磋商报价表</w:t>
      </w:r>
      <w:r>
        <w:rPr>
          <w:color w:val="auto"/>
        </w:rPr>
        <w:tab/>
      </w:r>
      <w:r>
        <w:rPr>
          <w:color w:val="auto"/>
        </w:rPr>
        <w:t>X</w:t>
      </w:r>
      <w:bookmarkEnd w:id="334"/>
      <w:bookmarkEnd w:id="335"/>
      <w:bookmarkEnd w:id="336"/>
      <w:bookmarkEnd w:id="337"/>
    </w:p>
    <w:p w14:paraId="7B394649">
      <w:pPr>
        <w:tabs>
          <w:tab w:val="right" w:leader="hyphen" w:pos="8504"/>
        </w:tabs>
        <w:spacing w:line="500" w:lineRule="exact"/>
        <w:ind w:left="1981" w:leftChars="200" w:right="849" w:rightChars="300" w:hanging="1415" w:hangingChars="500"/>
        <w:rPr>
          <w:color w:val="auto"/>
        </w:rPr>
      </w:pPr>
      <w:r>
        <w:rPr>
          <w:color w:val="auto"/>
        </w:rPr>
        <w:t>　　　</w:t>
      </w:r>
      <w:r>
        <w:rPr>
          <w:rFonts w:hint="eastAsia"/>
          <w:color w:val="auto"/>
        </w:rPr>
        <w:t xml:space="preserve">    </w:t>
      </w:r>
      <w:r>
        <w:rPr>
          <w:color w:val="auto"/>
        </w:rPr>
        <w:t>分项报价表</w:t>
      </w:r>
      <w:r>
        <w:rPr>
          <w:color w:val="auto"/>
        </w:rPr>
        <w:tab/>
      </w:r>
      <w:r>
        <w:rPr>
          <w:color w:val="auto"/>
        </w:rPr>
        <w:t>X</w:t>
      </w:r>
    </w:p>
    <w:p w14:paraId="58020FC6">
      <w:pPr>
        <w:tabs>
          <w:tab w:val="right" w:leader="hyphen" w:pos="8504"/>
        </w:tabs>
        <w:spacing w:line="500" w:lineRule="exact"/>
        <w:ind w:left="1981" w:leftChars="500" w:right="849" w:rightChars="300" w:hanging="566" w:hangingChars="200"/>
        <w:rPr>
          <w:color w:val="auto"/>
        </w:rPr>
      </w:pPr>
      <w:bookmarkStart w:id="338" w:name="_Toc27170_WPSOffice_Level2"/>
      <w:bookmarkStart w:id="339" w:name="_Toc29414_WPSOffice_Level2"/>
      <w:bookmarkStart w:id="340" w:name="_Toc11630_WPSOffice_Level2"/>
      <w:bookmarkStart w:id="341" w:name="_Toc3525_WPSOffice_Level2"/>
      <w:r>
        <w:rPr>
          <w:rFonts w:hint="eastAsia"/>
          <w:color w:val="auto"/>
        </w:rPr>
        <w:t>三、磋商保证金交纳凭证</w:t>
      </w:r>
      <w:r>
        <w:rPr>
          <w:rFonts w:hint="eastAsia"/>
          <w:color w:val="auto"/>
        </w:rPr>
        <w:tab/>
      </w:r>
      <w:r>
        <w:rPr>
          <w:rFonts w:hint="eastAsia"/>
          <w:color w:val="auto"/>
        </w:rPr>
        <w:t>X</w:t>
      </w:r>
    </w:p>
    <w:p w14:paraId="19B369C2">
      <w:pPr>
        <w:tabs>
          <w:tab w:val="right" w:leader="hyphen" w:pos="8504"/>
        </w:tabs>
        <w:spacing w:line="500" w:lineRule="exact"/>
        <w:ind w:left="1981" w:leftChars="500" w:right="849" w:rightChars="300" w:hanging="566" w:hangingChars="200"/>
        <w:rPr>
          <w:color w:val="auto"/>
        </w:rPr>
      </w:pPr>
      <w:r>
        <w:rPr>
          <w:rFonts w:hint="eastAsia"/>
          <w:color w:val="auto"/>
        </w:rPr>
        <w:t>四、供应</w:t>
      </w:r>
      <w:r>
        <w:rPr>
          <w:color w:val="auto"/>
        </w:rPr>
        <w:t>商</w:t>
      </w:r>
      <w:r>
        <w:rPr>
          <w:rFonts w:hint="eastAsia"/>
          <w:color w:val="auto"/>
        </w:rPr>
        <w:t>参加政府采购活动</w:t>
      </w:r>
      <w:r>
        <w:rPr>
          <w:color w:val="auto"/>
        </w:rPr>
        <w:t>承诺书</w:t>
      </w:r>
      <w:r>
        <w:rPr>
          <w:color w:val="auto"/>
        </w:rPr>
        <w:tab/>
      </w:r>
      <w:r>
        <w:rPr>
          <w:color w:val="auto"/>
        </w:rPr>
        <w:t>X</w:t>
      </w:r>
      <w:bookmarkEnd w:id="338"/>
      <w:bookmarkEnd w:id="339"/>
      <w:bookmarkEnd w:id="340"/>
      <w:bookmarkEnd w:id="341"/>
    </w:p>
    <w:p w14:paraId="77A90284">
      <w:pPr>
        <w:tabs>
          <w:tab w:val="right" w:leader="hyphen" w:pos="8504"/>
        </w:tabs>
        <w:spacing w:line="500" w:lineRule="exact"/>
        <w:ind w:right="849" w:rightChars="300" w:firstLine="1415" w:firstLineChars="500"/>
        <w:rPr>
          <w:color w:val="auto"/>
        </w:rPr>
      </w:pPr>
      <w:bookmarkStart w:id="342" w:name="_Toc31457_WPSOffice_Level2"/>
      <w:bookmarkStart w:id="343" w:name="_Toc1782_WPSOffice_Level2"/>
      <w:bookmarkStart w:id="344" w:name="_Toc18811_WPSOffice_Level2"/>
      <w:bookmarkStart w:id="345" w:name="_Toc20504_WPSOffice_Level2"/>
      <w:r>
        <w:rPr>
          <w:rFonts w:hint="eastAsia"/>
          <w:color w:val="auto"/>
        </w:rPr>
        <w:t>五、技术服务偏差表</w:t>
      </w:r>
      <w:r>
        <w:rPr>
          <w:color w:val="auto"/>
        </w:rPr>
        <w:tab/>
      </w:r>
      <w:r>
        <w:rPr>
          <w:color w:val="auto"/>
        </w:rPr>
        <w:t>X</w:t>
      </w:r>
      <w:bookmarkEnd w:id="342"/>
      <w:bookmarkEnd w:id="343"/>
      <w:bookmarkEnd w:id="344"/>
      <w:bookmarkEnd w:id="345"/>
    </w:p>
    <w:p w14:paraId="4BE3FF1E">
      <w:pPr>
        <w:tabs>
          <w:tab w:val="right" w:leader="hyphen" w:pos="8504"/>
        </w:tabs>
        <w:spacing w:line="500" w:lineRule="exact"/>
        <w:ind w:left="1981" w:leftChars="200" w:right="849" w:rightChars="300" w:hanging="1415" w:hangingChars="500"/>
        <w:rPr>
          <w:color w:val="auto"/>
        </w:rPr>
      </w:pPr>
      <w:r>
        <w:rPr>
          <w:rFonts w:hint="eastAsia"/>
          <w:color w:val="auto"/>
        </w:rPr>
        <w:t xml:space="preserve">      </w:t>
      </w:r>
      <w:bookmarkStart w:id="346" w:name="_Toc19486_WPSOffice_Level2"/>
      <w:bookmarkStart w:id="347" w:name="_Toc13258_WPSOffice_Level2"/>
      <w:bookmarkStart w:id="348" w:name="_Toc28279_WPSOffice_Level2"/>
      <w:bookmarkStart w:id="349" w:name="_Toc17428_WPSOffice_Level2"/>
      <w:r>
        <w:rPr>
          <w:rFonts w:hint="eastAsia"/>
          <w:color w:val="auto"/>
        </w:rPr>
        <w:t>六、合同条款响应</w:t>
      </w:r>
      <w:r>
        <w:rPr>
          <w:color w:val="auto"/>
        </w:rPr>
        <w:tab/>
      </w:r>
      <w:r>
        <w:rPr>
          <w:color w:val="auto"/>
        </w:rPr>
        <w:t>X</w:t>
      </w:r>
      <w:bookmarkEnd w:id="346"/>
      <w:bookmarkEnd w:id="347"/>
      <w:bookmarkEnd w:id="348"/>
      <w:bookmarkEnd w:id="349"/>
    </w:p>
    <w:p w14:paraId="4B562F3D">
      <w:pPr>
        <w:tabs>
          <w:tab w:val="right" w:leader="hyphen" w:pos="8504"/>
        </w:tabs>
        <w:spacing w:line="500" w:lineRule="exact"/>
        <w:ind w:right="849" w:rightChars="300"/>
        <w:rPr>
          <w:rFonts w:ascii="黑体" w:hAnsi="黑体" w:eastAsia="黑体" w:cs="黑体"/>
          <w:color w:val="auto"/>
        </w:rPr>
      </w:pPr>
      <w:r>
        <w:rPr>
          <w:rFonts w:hint="eastAsia" w:ascii="黑体" w:hAnsi="黑体" w:eastAsia="黑体" w:cs="黑体"/>
          <w:color w:val="auto"/>
        </w:rPr>
        <w:t xml:space="preserve">    </w:t>
      </w:r>
      <w:bookmarkStart w:id="350" w:name="_Toc22808_WPSOffice_Level1"/>
      <w:bookmarkStart w:id="351" w:name="_Toc21905_WPSOffice_Level1"/>
      <w:bookmarkStart w:id="352" w:name="_Toc27464_WPSOffice_Level1"/>
      <w:bookmarkStart w:id="353" w:name="_Toc23092_WPSOffice_Level1"/>
      <w:r>
        <w:rPr>
          <w:rFonts w:hint="eastAsia" w:ascii="黑体" w:hAnsi="黑体" w:eastAsia="黑体" w:cs="黑体"/>
          <w:color w:val="auto"/>
        </w:rPr>
        <w:t>第三部分  响应</w:t>
      </w:r>
      <w:r>
        <w:rPr>
          <w:rFonts w:hint="eastAsia" w:ascii="黑体" w:hAnsi="黑体" w:eastAsia="黑体" w:cs="黑体"/>
          <w:color w:val="auto"/>
          <w:lang w:val="en-US" w:eastAsia="zh-CN"/>
        </w:rPr>
        <w:t>性证明文件</w:t>
      </w:r>
      <w:bookmarkEnd w:id="350"/>
      <w:bookmarkEnd w:id="351"/>
      <w:bookmarkEnd w:id="352"/>
      <w:bookmarkEnd w:id="353"/>
    </w:p>
    <w:p w14:paraId="3EFE4408">
      <w:pPr>
        <w:tabs>
          <w:tab w:val="right" w:leader="hyphen" w:pos="8504"/>
        </w:tabs>
        <w:spacing w:line="500" w:lineRule="exact"/>
        <w:ind w:left="1981" w:leftChars="200" w:right="849" w:rightChars="300" w:hanging="1415" w:hangingChars="500"/>
        <w:rPr>
          <w:color w:val="auto"/>
        </w:rPr>
      </w:pPr>
      <w:r>
        <w:rPr>
          <w:rFonts w:hint="eastAsia"/>
          <w:color w:val="auto"/>
        </w:rPr>
        <w:t xml:space="preserve">      </w:t>
      </w:r>
      <w:bookmarkStart w:id="354" w:name="_Toc7951_WPSOffice_Level2"/>
      <w:bookmarkStart w:id="355" w:name="_Toc7544_WPSOffice_Level2"/>
      <w:bookmarkStart w:id="356" w:name="_Toc980_WPSOffice_Level2"/>
      <w:bookmarkStart w:id="357" w:name="_Toc8316_WPSOffice_Level2"/>
      <w:r>
        <w:rPr>
          <w:rFonts w:hint="eastAsia"/>
          <w:color w:val="auto"/>
        </w:rPr>
        <w:t>一、</w:t>
      </w:r>
      <w:bookmarkEnd w:id="354"/>
      <w:r>
        <w:rPr>
          <w:rFonts w:hint="eastAsia"/>
          <w:color w:val="auto"/>
        </w:rPr>
        <w:t>供应商概况</w:t>
      </w:r>
      <w:r>
        <w:rPr>
          <w:color w:val="auto"/>
        </w:rPr>
        <w:tab/>
      </w:r>
      <w:r>
        <w:rPr>
          <w:color w:val="auto"/>
        </w:rPr>
        <w:t>X</w:t>
      </w:r>
      <w:bookmarkEnd w:id="355"/>
      <w:bookmarkEnd w:id="356"/>
      <w:bookmarkEnd w:id="357"/>
    </w:p>
    <w:p w14:paraId="709CE692">
      <w:pPr>
        <w:tabs>
          <w:tab w:val="right" w:leader="hyphen" w:pos="8504"/>
        </w:tabs>
        <w:spacing w:line="500" w:lineRule="exact"/>
        <w:ind w:left="849" w:leftChars="300" w:right="849" w:rightChars="300" w:firstLine="566" w:firstLineChars="200"/>
        <w:rPr>
          <w:color w:val="auto"/>
        </w:rPr>
      </w:pPr>
      <w:bookmarkStart w:id="358" w:name="_Toc15474_WPSOffice_Level2"/>
      <w:bookmarkStart w:id="359" w:name="_Toc10127_WPSOffice_Level2"/>
      <w:bookmarkStart w:id="360" w:name="_Toc2987_WPSOffice_Level2"/>
      <w:bookmarkStart w:id="361" w:name="_Toc2999_WPSOffice_Level2"/>
      <w:r>
        <w:rPr>
          <w:rFonts w:hint="eastAsia"/>
          <w:color w:val="auto"/>
        </w:rPr>
        <w:t>二、技术服务</w:t>
      </w:r>
      <w:r>
        <w:rPr>
          <w:color w:val="auto"/>
        </w:rPr>
        <w:t>方案</w:t>
      </w:r>
      <w:r>
        <w:rPr>
          <w:color w:val="auto"/>
        </w:rPr>
        <w:tab/>
      </w:r>
      <w:r>
        <w:rPr>
          <w:color w:val="auto"/>
        </w:rPr>
        <w:t>X</w:t>
      </w:r>
      <w:bookmarkEnd w:id="358"/>
      <w:bookmarkEnd w:id="359"/>
      <w:bookmarkEnd w:id="360"/>
      <w:bookmarkEnd w:id="361"/>
    </w:p>
    <w:p w14:paraId="25803586">
      <w:pPr>
        <w:numPr>
          <w:ilvl w:val="0"/>
          <w:numId w:val="7"/>
        </w:numPr>
        <w:tabs>
          <w:tab w:val="right" w:leader="hyphen" w:pos="8504"/>
        </w:tabs>
        <w:spacing w:line="500" w:lineRule="exact"/>
        <w:ind w:left="1981" w:leftChars="500" w:right="849" w:rightChars="300" w:hanging="566" w:hangingChars="200"/>
        <w:rPr>
          <w:color w:val="auto"/>
        </w:rPr>
      </w:pPr>
      <w:bookmarkStart w:id="362" w:name="_Toc28542_WPSOffice_Level2"/>
      <w:bookmarkStart w:id="363" w:name="_Toc15492_WPSOffice_Level2"/>
      <w:bookmarkStart w:id="364" w:name="_Toc22913_WPSOffice_Level2"/>
      <w:bookmarkStart w:id="365" w:name="_Toc13401_WPSOffice_Level2"/>
      <w:r>
        <w:rPr>
          <w:rFonts w:hint="eastAsia"/>
          <w:color w:val="auto"/>
        </w:rPr>
        <w:t>参考样表</w:t>
      </w:r>
      <w:r>
        <w:rPr>
          <w:color w:val="auto"/>
        </w:rPr>
        <w:tab/>
      </w:r>
      <w:r>
        <w:rPr>
          <w:color w:val="auto"/>
        </w:rPr>
        <w:t>X</w:t>
      </w:r>
      <w:bookmarkEnd w:id="362"/>
      <w:bookmarkEnd w:id="363"/>
      <w:bookmarkEnd w:id="364"/>
      <w:bookmarkEnd w:id="365"/>
    </w:p>
    <w:p w14:paraId="26E141F5">
      <w:pPr>
        <w:numPr>
          <w:ilvl w:val="0"/>
          <w:numId w:val="7"/>
        </w:numPr>
        <w:tabs>
          <w:tab w:val="right" w:leader="hyphen" w:pos="8504"/>
        </w:tabs>
        <w:spacing w:line="500" w:lineRule="exact"/>
        <w:ind w:left="1981" w:leftChars="500" w:right="849" w:rightChars="300" w:hanging="566" w:hangingChars="200"/>
        <w:rPr>
          <w:color w:val="auto"/>
        </w:rPr>
      </w:pPr>
      <w:bookmarkStart w:id="366" w:name="_Toc31039_WPSOffice_Level2"/>
      <w:bookmarkStart w:id="367" w:name="_Toc31677_WPSOffice_Level2"/>
      <w:bookmarkStart w:id="368" w:name="_Toc18939_WPSOffice_Level2"/>
      <w:bookmarkStart w:id="369" w:name="_Toc5988_WPSOffice_Level2"/>
      <w:r>
        <w:rPr>
          <w:rFonts w:hint="eastAsia"/>
          <w:color w:val="auto"/>
        </w:rPr>
        <w:t>供应商认为有利于成交的其他情况说明</w:t>
      </w:r>
      <w:bookmarkEnd w:id="366"/>
      <w:r>
        <w:rPr>
          <w:color w:val="auto"/>
        </w:rPr>
        <w:tab/>
      </w:r>
      <w:r>
        <w:rPr>
          <w:color w:val="auto"/>
        </w:rPr>
        <w:t>X</w:t>
      </w:r>
      <w:bookmarkEnd w:id="367"/>
      <w:bookmarkEnd w:id="368"/>
      <w:bookmarkEnd w:id="369"/>
    </w:p>
    <w:p w14:paraId="32D9C6B3">
      <w:pPr>
        <w:spacing w:line="500" w:lineRule="exact"/>
        <w:jc w:val="center"/>
        <w:rPr>
          <w:rFonts w:ascii="黑体" w:hAnsi="黑体" w:eastAsia="黑体"/>
          <w:b/>
          <w:color w:val="auto"/>
        </w:rPr>
      </w:pPr>
      <w:r>
        <w:rPr>
          <w:rFonts w:ascii="黑体" w:hAnsi="黑体" w:eastAsia="黑体"/>
          <w:b/>
          <w:color w:val="auto"/>
        </w:rPr>
        <w:br w:type="page"/>
      </w:r>
      <w:bookmarkStart w:id="370" w:name="_Toc14670_WPSOffice_Level1"/>
      <w:bookmarkStart w:id="371" w:name="_Toc19475"/>
      <w:bookmarkStart w:id="372" w:name="_Toc17561"/>
      <w:bookmarkStart w:id="373" w:name="_Toc5115_WPSOffice_Level1"/>
      <w:bookmarkStart w:id="374" w:name="_Toc3534_WPSOffice_Level1"/>
      <w:bookmarkStart w:id="375" w:name="_Toc583"/>
      <w:r>
        <w:rPr>
          <w:rStyle w:val="60"/>
          <w:rFonts w:hint="eastAsia" w:ascii="黑体" w:hAnsi="黑体" w:eastAsia="黑体" w:cs="黑体"/>
          <w:b w:val="0"/>
          <w:bCs/>
          <w:color w:val="auto"/>
          <w:sz w:val="32"/>
          <w:szCs w:val="40"/>
        </w:rPr>
        <w:t>第一部分  资格证明文件</w:t>
      </w:r>
      <w:bookmarkEnd w:id="370"/>
      <w:bookmarkEnd w:id="371"/>
      <w:bookmarkEnd w:id="372"/>
      <w:bookmarkEnd w:id="373"/>
      <w:bookmarkEnd w:id="374"/>
      <w:bookmarkEnd w:id="375"/>
    </w:p>
    <w:p w14:paraId="7DCC2304">
      <w:pPr>
        <w:spacing w:line="500" w:lineRule="exact"/>
        <w:ind w:firstLine="562"/>
        <w:rPr>
          <w:color w:val="auto"/>
        </w:rPr>
      </w:pPr>
      <w:bookmarkStart w:id="376" w:name="_Toc19075_WPSOffice_Level2"/>
      <w:bookmarkStart w:id="377" w:name="_Toc9954_WPSOffice_Level2"/>
      <w:bookmarkStart w:id="378" w:name="_Toc26041_WPSOffice_Level2"/>
      <w:bookmarkStart w:id="379" w:name="_Toc6967_WPSOffice_Level2"/>
      <w:r>
        <w:rPr>
          <w:rFonts w:hint="eastAsia"/>
          <w:color w:val="auto"/>
        </w:rPr>
        <w:t>供应商应按照磋商文件第一章第</w:t>
      </w:r>
      <w:r>
        <w:rPr>
          <w:rFonts w:hint="eastAsia"/>
          <w:color w:val="auto"/>
          <w:lang w:val="en-US" w:eastAsia="zh-CN"/>
        </w:rPr>
        <w:t>九</w:t>
      </w:r>
      <w:r>
        <w:rPr>
          <w:rFonts w:hint="eastAsia"/>
          <w:color w:val="auto"/>
        </w:rPr>
        <w:t>项所列“供应商资格要求”逐一提供全部资格证明文件。缺少其中任何一项，其响应文件将被视为无效文件。</w:t>
      </w:r>
    </w:p>
    <w:p w14:paraId="796A996E">
      <w:pPr>
        <w:spacing w:line="500" w:lineRule="exact"/>
        <w:ind w:firstLine="562"/>
        <w:rPr>
          <w:rFonts w:hint="eastAsia"/>
          <w:color w:val="auto"/>
        </w:rPr>
      </w:pPr>
      <w:r>
        <w:rPr>
          <w:rFonts w:hint="eastAsia"/>
          <w:color w:val="auto"/>
        </w:rPr>
        <w:t>其中，《供应商</w:t>
      </w:r>
      <w:r>
        <w:rPr>
          <w:rFonts w:hint="eastAsia"/>
          <w:color w:val="auto"/>
          <w:lang w:val="en-US" w:eastAsia="zh-CN"/>
        </w:rPr>
        <w:t>信用记录</w:t>
      </w:r>
      <w:r>
        <w:rPr>
          <w:rFonts w:hint="eastAsia"/>
          <w:color w:val="auto"/>
        </w:rPr>
        <w:t>书面声明函》、《法定代表人授权委托书》</w:t>
      </w:r>
      <w:r>
        <w:rPr>
          <w:rFonts w:hint="eastAsia"/>
          <w:color w:val="auto"/>
          <w:lang w:eastAsia="zh-CN"/>
        </w:rPr>
        <w:t>、《</w:t>
      </w:r>
      <w:r>
        <w:rPr>
          <w:rFonts w:hint="eastAsia"/>
          <w:color w:val="auto"/>
          <w:lang w:val="en-US" w:eastAsia="zh-CN"/>
        </w:rPr>
        <w:t>书面声明</w:t>
      </w:r>
      <w:r>
        <w:rPr>
          <w:rFonts w:hint="eastAsia"/>
          <w:color w:val="auto"/>
          <w:lang w:eastAsia="zh-CN"/>
        </w:rPr>
        <w:t>》</w:t>
      </w:r>
      <w:r>
        <w:rPr>
          <w:rFonts w:hint="eastAsia"/>
          <w:color w:val="auto"/>
        </w:rPr>
        <w:t>须按下文给定格式填写。</w:t>
      </w:r>
    </w:p>
    <w:p w14:paraId="075D536F">
      <w:pPr>
        <w:spacing w:line="500" w:lineRule="exact"/>
        <w:ind w:firstLine="562"/>
        <w:rPr>
          <w:color w:val="auto"/>
        </w:rPr>
      </w:pPr>
    </w:p>
    <w:p w14:paraId="1966F1D3">
      <w:pPr>
        <w:pStyle w:val="49"/>
        <w:keepNext/>
        <w:keepLines/>
        <w:pageBreakBefore w:val="0"/>
        <w:widowControl/>
        <w:kinsoku/>
        <w:wordWrap/>
        <w:overflowPunct/>
        <w:topLinePunct w:val="0"/>
        <w:autoSpaceDE/>
        <w:autoSpaceDN/>
        <w:bidi w:val="0"/>
        <w:adjustRightInd/>
        <w:snapToGrid/>
        <w:spacing w:line="500" w:lineRule="atLeast"/>
        <w:textAlignment w:val="auto"/>
        <w:rPr>
          <w:color w:val="auto"/>
          <w:sz w:val="30"/>
          <w:szCs w:val="30"/>
        </w:rPr>
      </w:pPr>
      <w:r>
        <w:rPr>
          <w:rFonts w:hint="eastAsia"/>
          <w:color w:val="auto"/>
          <w:sz w:val="30"/>
          <w:szCs w:val="30"/>
        </w:rPr>
        <w:t>一、</w:t>
      </w:r>
      <w:r>
        <w:rPr>
          <w:color w:val="auto"/>
          <w:sz w:val="30"/>
          <w:szCs w:val="30"/>
        </w:rPr>
        <w:t>营业执照等主体资格证明文件</w:t>
      </w:r>
      <w:bookmarkEnd w:id="376"/>
      <w:bookmarkEnd w:id="377"/>
      <w:bookmarkEnd w:id="378"/>
      <w:bookmarkEnd w:id="379"/>
    </w:p>
    <w:p w14:paraId="4C4D2BFE">
      <w:pPr>
        <w:pStyle w:val="49"/>
        <w:keepNext/>
        <w:keepLines/>
        <w:pageBreakBefore w:val="0"/>
        <w:widowControl/>
        <w:kinsoku/>
        <w:wordWrap/>
        <w:overflowPunct/>
        <w:topLinePunct w:val="0"/>
        <w:autoSpaceDE/>
        <w:autoSpaceDN/>
        <w:bidi w:val="0"/>
        <w:adjustRightInd/>
        <w:snapToGrid/>
        <w:spacing w:line="500" w:lineRule="atLeast"/>
        <w:textAlignment w:val="auto"/>
        <w:rPr>
          <w:color w:val="auto"/>
          <w:sz w:val="30"/>
          <w:szCs w:val="30"/>
        </w:rPr>
      </w:pPr>
      <w:bookmarkStart w:id="380" w:name="_Toc18116_WPSOffice_Level2"/>
      <w:bookmarkStart w:id="381" w:name="_Toc6228_WPSOffice_Level2"/>
      <w:bookmarkStart w:id="382" w:name="_Toc8228_WPSOffice_Level2"/>
      <w:bookmarkStart w:id="383" w:name="_Toc24324_WPSOffice_Level2"/>
      <w:r>
        <w:rPr>
          <w:rFonts w:hint="eastAsia"/>
          <w:color w:val="auto"/>
          <w:sz w:val="30"/>
          <w:szCs w:val="30"/>
        </w:rPr>
        <w:t>二、</w:t>
      </w:r>
      <w:r>
        <w:rPr>
          <w:color w:val="auto"/>
          <w:sz w:val="30"/>
          <w:szCs w:val="30"/>
        </w:rPr>
        <w:t>财务状况报告</w:t>
      </w:r>
      <w:bookmarkEnd w:id="380"/>
      <w:bookmarkEnd w:id="381"/>
      <w:bookmarkEnd w:id="382"/>
      <w:bookmarkEnd w:id="383"/>
    </w:p>
    <w:p w14:paraId="2B15D0E3">
      <w:pPr>
        <w:pStyle w:val="49"/>
        <w:keepNext/>
        <w:keepLines/>
        <w:pageBreakBefore w:val="0"/>
        <w:widowControl/>
        <w:kinsoku/>
        <w:wordWrap/>
        <w:overflowPunct/>
        <w:topLinePunct w:val="0"/>
        <w:autoSpaceDE/>
        <w:autoSpaceDN/>
        <w:bidi w:val="0"/>
        <w:adjustRightInd/>
        <w:snapToGrid/>
        <w:spacing w:line="500" w:lineRule="atLeast"/>
        <w:textAlignment w:val="auto"/>
        <w:rPr>
          <w:color w:val="auto"/>
          <w:sz w:val="30"/>
          <w:szCs w:val="30"/>
        </w:rPr>
      </w:pPr>
      <w:bookmarkStart w:id="384" w:name="_Toc25438_WPSOffice_Level2"/>
      <w:bookmarkStart w:id="385" w:name="_Toc8724_WPSOffice_Level2"/>
      <w:bookmarkStart w:id="386" w:name="_Toc9514_WPSOffice_Level2"/>
      <w:bookmarkStart w:id="387" w:name="_Toc29597_WPSOffice_Level2"/>
      <w:r>
        <w:rPr>
          <w:rFonts w:hint="eastAsia"/>
          <w:color w:val="auto"/>
          <w:sz w:val="30"/>
          <w:szCs w:val="30"/>
        </w:rPr>
        <w:t>三、</w:t>
      </w:r>
      <w:r>
        <w:rPr>
          <w:color w:val="auto"/>
          <w:sz w:val="30"/>
          <w:szCs w:val="30"/>
        </w:rPr>
        <w:t>社保缴纳证明</w:t>
      </w:r>
      <w:bookmarkEnd w:id="384"/>
      <w:bookmarkEnd w:id="385"/>
      <w:bookmarkEnd w:id="386"/>
      <w:bookmarkEnd w:id="387"/>
    </w:p>
    <w:p w14:paraId="5597F051">
      <w:pPr>
        <w:pStyle w:val="49"/>
        <w:keepNext/>
        <w:keepLines/>
        <w:pageBreakBefore w:val="0"/>
        <w:widowControl/>
        <w:kinsoku/>
        <w:wordWrap/>
        <w:overflowPunct/>
        <w:topLinePunct w:val="0"/>
        <w:autoSpaceDE/>
        <w:autoSpaceDN/>
        <w:bidi w:val="0"/>
        <w:adjustRightInd/>
        <w:snapToGrid/>
        <w:spacing w:line="500" w:lineRule="atLeast"/>
        <w:textAlignment w:val="auto"/>
        <w:rPr>
          <w:color w:val="auto"/>
          <w:sz w:val="30"/>
          <w:szCs w:val="30"/>
        </w:rPr>
      </w:pPr>
      <w:bookmarkStart w:id="388" w:name="_Toc960_WPSOffice_Level2"/>
      <w:bookmarkStart w:id="389" w:name="_Toc18154_WPSOffice_Level2"/>
      <w:bookmarkStart w:id="390" w:name="_Toc22563_WPSOffice_Level2"/>
      <w:bookmarkStart w:id="391" w:name="_Toc26260_WPSOffice_Level2"/>
      <w:r>
        <w:rPr>
          <w:rFonts w:hint="eastAsia"/>
          <w:color w:val="auto"/>
          <w:sz w:val="30"/>
          <w:szCs w:val="30"/>
        </w:rPr>
        <w:t>四、</w:t>
      </w:r>
      <w:r>
        <w:rPr>
          <w:color w:val="auto"/>
          <w:sz w:val="30"/>
          <w:szCs w:val="30"/>
        </w:rPr>
        <w:t>税收缴纳证明</w:t>
      </w:r>
      <w:bookmarkEnd w:id="388"/>
      <w:bookmarkEnd w:id="389"/>
      <w:bookmarkEnd w:id="390"/>
      <w:bookmarkEnd w:id="391"/>
    </w:p>
    <w:p w14:paraId="3DEBEA8B">
      <w:pPr>
        <w:pStyle w:val="49"/>
        <w:keepNext/>
        <w:keepLines/>
        <w:spacing w:line="500" w:lineRule="atLeast"/>
        <w:rPr>
          <w:color w:val="auto"/>
        </w:rPr>
      </w:pPr>
      <w:bookmarkStart w:id="392" w:name="_Toc10483_WPSOffice_Level2"/>
      <w:bookmarkStart w:id="393" w:name="_Toc1079_WPSOffice_Level2"/>
      <w:bookmarkStart w:id="394" w:name="_Toc30636_WPSOffice_Level2"/>
      <w:bookmarkStart w:id="395" w:name="_Toc32533_WPSOffice_Level2"/>
      <w:r>
        <w:rPr>
          <w:rFonts w:hint="eastAsia"/>
          <w:color w:val="auto"/>
          <w:sz w:val="30"/>
          <w:szCs w:val="30"/>
        </w:rPr>
        <w:t>五、</w:t>
      </w:r>
      <w:bookmarkEnd w:id="392"/>
      <w:bookmarkEnd w:id="393"/>
      <w:bookmarkEnd w:id="394"/>
      <w:bookmarkEnd w:id="395"/>
      <w:r>
        <w:rPr>
          <w:rFonts w:hint="eastAsia"/>
          <w:color w:val="auto"/>
          <w:sz w:val="30"/>
          <w:szCs w:val="30"/>
          <w:lang w:val="en-US" w:eastAsia="zh-CN"/>
        </w:rPr>
        <w:t>信用记录</w:t>
      </w:r>
    </w:p>
    <w:p w14:paraId="0B751C0E">
      <w:pPr>
        <w:pStyle w:val="49"/>
        <w:jc w:val="center"/>
        <w:outlineLvl w:val="9"/>
        <w:rPr>
          <w:color w:val="auto"/>
          <w:sz w:val="30"/>
          <w:szCs w:val="30"/>
        </w:rPr>
      </w:pPr>
    </w:p>
    <w:p w14:paraId="7CCF577D">
      <w:pPr>
        <w:pStyle w:val="49"/>
        <w:jc w:val="center"/>
        <w:rPr>
          <w:color w:val="auto"/>
          <w:sz w:val="30"/>
          <w:szCs w:val="30"/>
        </w:rPr>
      </w:pPr>
      <w:bookmarkStart w:id="396" w:name="_Toc2068"/>
      <w:bookmarkStart w:id="397" w:name="_Toc26983"/>
      <w:bookmarkStart w:id="398" w:name="_Toc27403"/>
      <w:bookmarkStart w:id="399" w:name="_Toc28079"/>
      <w:bookmarkStart w:id="400" w:name="_Toc12492"/>
      <w:r>
        <w:rPr>
          <w:rFonts w:hint="eastAsia"/>
          <w:color w:val="auto"/>
          <w:sz w:val="30"/>
          <w:szCs w:val="30"/>
        </w:rPr>
        <w:t>供应</w:t>
      </w:r>
      <w:r>
        <w:rPr>
          <w:color w:val="auto"/>
          <w:sz w:val="30"/>
          <w:szCs w:val="30"/>
        </w:rPr>
        <w:t>商</w:t>
      </w:r>
      <w:r>
        <w:rPr>
          <w:rFonts w:hint="eastAsia"/>
          <w:color w:val="auto"/>
          <w:sz w:val="30"/>
          <w:szCs w:val="30"/>
          <w:lang w:val="en-US" w:eastAsia="zh-CN"/>
        </w:rPr>
        <w:t>信用记录</w:t>
      </w:r>
      <w:r>
        <w:rPr>
          <w:color w:val="auto"/>
          <w:sz w:val="30"/>
          <w:szCs w:val="30"/>
        </w:rPr>
        <w:t>书面声明函</w:t>
      </w:r>
      <w:bookmarkEnd w:id="396"/>
      <w:bookmarkEnd w:id="397"/>
      <w:bookmarkEnd w:id="398"/>
      <w:bookmarkEnd w:id="399"/>
      <w:bookmarkEnd w:id="400"/>
    </w:p>
    <w:p w14:paraId="2CB9FB05">
      <w:pPr>
        <w:spacing w:line="500" w:lineRule="exact"/>
        <w:rPr>
          <w:color w:val="auto"/>
        </w:rPr>
      </w:pPr>
      <w:r>
        <w:rPr>
          <w:rFonts w:hint="eastAsia" w:ascii="华文仿宋" w:hAnsi="华文仿宋" w:cs="华文仿宋"/>
          <w:color w:val="auto"/>
        </w:rPr>
        <w:t>陕西省省级单位政府采购中心</w:t>
      </w:r>
      <w:r>
        <w:rPr>
          <w:color w:val="auto"/>
        </w:rPr>
        <w:t>：</w:t>
      </w:r>
    </w:p>
    <w:p w14:paraId="5458B6E7">
      <w:pPr>
        <w:spacing w:line="500" w:lineRule="exact"/>
        <w:ind w:firstLine="566" w:firstLineChars="200"/>
        <w:rPr>
          <w:rFonts w:ascii="仿宋" w:hAnsi="仿宋" w:eastAsia="仿宋" w:cs="仿宋"/>
          <w:color w:val="auto"/>
        </w:rPr>
      </w:pPr>
      <w:r>
        <w:rPr>
          <w:rFonts w:hint="eastAsia" w:ascii="仿宋" w:hAnsi="仿宋" w:eastAsia="仿宋" w:cs="仿宋"/>
          <w:color w:val="auto"/>
        </w:rPr>
        <w:t>我方作为</w:t>
      </w:r>
      <w:r>
        <w:rPr>
          <w:rFonts w:hint="eastAsia" w:ascii="仿宋" w:hAnsi="仿宋" w:eastAsia="仿宋" w:cs="仿宋"/>
          <w:color w:val="auto"/>
          <w:u w:val="single"/>
        </w:rPr>
        <w:t>项目名称</w:t>
      </w:r>
      <w:r>
        <w:rPr>
          <w:rFonts w:hint="eastAsia" w:ascii="仿宋" w:hAnsi="仿宋" w:eastAsia="仿宋" w:cs="仿宋"/>
          <w:color w:val="auto"/>
        </w:rPr>
        <w:t>（项目编号：____）第___标段的投标供应商，在此郑重声明：</w:t>
      </w:r>
    </w:p>
    <w:p w14:paraId="03AB5773">
      <w:pPr>
        <w:spacing w:line="500" w:lineRule="exact"/>
        <w:ind w:firstLine="566" w:firstLineChars="200"/>
        <w:rPr>
          <w:rFonts w:ascii="仿宋" w:hAnsi="仿宋" w:eastAsia="仿宋" w:cs="仿宋"/>
          <w:color w:val="auto"/>
        </w:rPr>
      </w:pPr>
      <w:r>
        <w:rPr>
          <w:rFonts w:hint="eastAsia" w:ascii="仿宋" w:hAnsi="仿宋" w:eastAsia="仿宋" w:cs="仿宋"/>
          <w:color w:val="auto"/>
        </w:rPr>
        <w:t>1、在参加本次政府采购活动前3年内的经营活动中____（填“没有”或“有”）重大违法记录。</w:t>
      </w:r>
      <w:r>
        <w:rPr>
          <w:rFonts w:hint="eastAsia" w:ascii="仿宋" w:hAnsi="仿宋" w:eastAsia="仿宋" w:cs="仿宋"/>
          <w:b/>
          <w:bCs/>
          <w:color w:val="auto"/>
        </w:rPr>
        <w:t>供应商在参加政府采购活动前3年内因违法经营被禁止在一定期限内参加政府采购活动，期限届满的，可以参加政府采购活动，但应提供期限届满的证明材料。</w:t>
      </w:r>
    </w:p>
    <w:p w14:paraId="734614A2">
      <w:pPr>
        <w:spacing w:line="500" w:lineRule="exact"/>
        <w:ind w:firstLine="566" w:firstLineChars="200"/>
        <w:rPr>
          <w:rFonts w:ascii="仿宋" w:hAnsi="仿宋" w:eastAsia="仿宋" w:cs="仿宋"/>
          <w:color w:val="auto"/>
        </w:rPr>
      </w:pPr>
      <w:r>
        <w:rPr>
          <w:rFonts w:hint="eastAsia" w:ascii="仿宋" w:hAnsi="仿宋" w:eastAsia="仿宋" w:cs="仿宋"/>
          <w:color w:val="auto"/>
        </w:rPr>
        <w:t>2、我方______（填“未被列入”或“被列入”）失信被执行人名单。</w:t>
      </w:r>
    </w:p>
    <w:p w14:paraId="6581D370">
      <w:pPr>
        <w:spacing w:line="500" w:lineRule="exact"/>
        <w:ind w:firstLine="566" w:firstLineChars="200"/>
        <w:rPr>
          <w:rFonts w:ascii="仿宋" w:hAnsi="仿宋" w:eastAsia="仿宋" w:cs="仿宋"/>
          <w:color w:val="auto"/>
        </w:rPr>
      </w:pPr>
      <w:r>
        <w:rPr>
          <w:rFonts w:hint="eastAsia" w:ascii="仿宋" w:hAnsi="仿宋" w:eastAsia="仿宋" w:cs="仿宋"/>
          <w:color w:val="auto"/>
        </w:rPr>
        <w:t>3、我方______（填“未被列入”或“被列入”）重大税收违法案件当事人名单。</w:t>
      </w:r>
    </w:p>
    <w:p w14:paraId="540CF56D">
      <w:pPr>
        <w:spacing w:line="500" w:lineRule="exact"/>
        <w:ind w:firstLine="566" w:firstLineChars="200"/>
        <w:rPr>
          <w:rFonts w:ascii="仿宋" w:hAnsi="仿宋" w:eastAsia="仿宋" w:cs="仿宋"/>
          <w:color w:val="auto"/>
        </w:rPr>
      </w:pPr>
      <w:r>
        <w:rPr>
          <w:rFonts w:hint="eastAsia" w:ascii="仿宋" w:hAnsi="仿宋" w:eastAsia="仿宋" w:cs="仿宋"/>
          <w:color w:val="auto"/>
        </w:rPr>
        <w:t>4、我方______（填“未被列入”或“被列入”）政府采购严重违法失信行为记录名单。</w:t>
      </w:r>
    </w:p>
    <w:p w14:paraId="6D7BEDCF">
      <w:pPr>
        <w:pStyle w:val="2"/>
        <w:ind w:firstLine="183"/>
        <w:rPr>
          <w:color w:val="auto"/>
        </w:rPr>
      </w:pPr>
    </w:p>
    <w:p w14:paraId="080F55B9">
      <w:pPr>
        <w:spacing w:line="500" w:lineRule="exact"/>
        <w:ind w:firstLine="566" w:firstLineChars="200"/>
        <w:rPr>
          <w:rFonts w:ascii="仿宋" w:hAnsi="仿宋" w:eastAsia="仿宋" w:cs="仿宋"/>
          <w:color w:val="auto"/>
        </w:rPr>
      </w:pPr>
      <w:r>
        <w:rPr>
          <w:rFonts w:hint="eastAsia" w:ascii="仿宋" w:hAnsi="仿宋" w:eastAsia="仿宋" w:cs="仿宋"/>
          <w:color w:val="auto"/>
        </w:rPr>
        <w:t>如有不实，我方将无条件地退出本项目的采购活动，并遵照《政府采购法》有关“提供虚假材料的规定”接受处罚。</w:t>
      </w:r>
    </w:p>
    <w:p w14:paraId="061076CF">
      <w:pPr>
        <w:spacing w:line="500" w:lineRule="exact"/>
        <w:ind w:firstLine="566" w:firstLineChars="200"/>
        <w:rPr>
          <w:rFonts w:ascii="仿宋" w:hAnsi="仿宋" w:eastAsia="仿宋" w:cs="仿宋"/>
          <w:color w:val="auto"/>
        </w:rPr>
      </w:pPr>
      <w:r>
        <w:rPr>
          <w:rFonts w:hint="eastAsia" w:ascii="仿宋" w:hAnsi="仿宋" w:eastAsia="仿宋" w:cs="仿宋"/>
          <w:color w:val="auto"/>
        </w:rPr>
        <w:t>特此声明。</w:t>
      </w:r>
    </w:p>
    <w:p w14:paraId="4CDD78C2">
      <w:pPr>
        <w:spacing w:line="500" w:lineRule="exact"/>
        <w:ind w:firstLine="4245" w:firstLineChars="1500"/>
        <w:rPr>
          <w:rFonts w:ascii="仿宋" w:hAnsi="仿宋" w:eastAsia="仿宋" w:cs="仿宋"/>
          <w:color w:val="auto"/>
        </w:rPr>
      </w:pPr>
      <w:r>
        <w:rPr>
          <w:rFonts w:hint="eastAsia" w:ascii="仿宋" w:hAnsi="仿宋" w:eastAsia="仿宋" w:cs="仿宋"/>
          <w:color w:val="auto"/>
        </w:rPr>
        <w:t>供应商：</w:t>
      </w:r>
      <w:r>
        <w:rPr>
          <w:rFonts w:hint="eastAsia" w:ascii="仿宋" w:hAnsi="仿宋" w:eastAsia="仿宋" w:cs="仿宋"/>
          <w:color w:val="auto"/>
          <w:u w:val="single"/>
        </w:rPr>
        <w:t>名称</w:t>
      </w:r>
      <w:r>
        <w:rPr>
          <w:rFonts w:hint="eastAsia" w:ascii="仿宋" w:hAnsi="仿宋" w:eastAsia="仿宋" w:cs="仿宋"/>
          <w:color w:val="auto"/>
        </w:rPr>
        <w:t>（加盖公章）</w:t>
      </w:r>
    </w:p>
    <w:p w14:paraId="37083BF9">
      <w:pPr>
        <w:spacing w:line="500" w:lineRule="exact"/>
        <w:ind w:firstLine="4528" w:firstLineChars="1600"/>
        <w:rPr>
          <w:rFonts w:ascii="仿宋" w:hAnsi="仿宋" w:eastAsia="仿宋" w:cs="仿宋"/>
          <w:color w:val="auto"/>
        </w:rPr>
      </w:pPr>
      <w:r>
        <w:rPr>
          <w:rFonts w:hint="eastAsia" w:ascii="仿宋" w:hAnsi="仿宋" w:eastAsia="仿宋" w:cs="仿宋"/>
          <w:color w:val="auto"/>
        </w:rPr>
        <w:t>日期：　　年　月　日</w:t>
      </w:r>
    </w:p>
    <w:p w14:paraId="4C1EFD67">
      <w:pPr>
        <w:spacing w:line="500" w:lineRule="exact"/>
        <w:ind w:firstLine="566" w:firstLineChars="200"/>
        <w:rPr>
          <w:rFonts w:ascii="仿宋" w:hAnsi="仿宋" w:eastAsia="仿宋" w:cs="仿宋"/>
          <w:color w:val="auto"/>
          <w:highlight w:val="yellow"/>
        </w:rPr>
      </w:pPr>
    </w:p>
    <w:p w14:paraId="711D0399">
      <w:pPr>
        <w:spacing w:line="500" w:lineRule="exact"/>
        <w:ind w:firstLine="426" w:firstLineChars="200"/>
        <w:rPr>
          <w:color w:val="auto"/>
        </w:rPr>
      </w:pPr>
      <w:r>
        <w:rPr>
          <w:rFonts w:hint="eastAsia" w:ascii="宋体" w:hAnsi="宋体" w:eastAsia="宋体" w:cs="宋体"/>
          <w:color w:val="auto"/>
          <w:sz w:val="21"/>
          <w:szCs w:val="21"/>
        </w:rPr>
        <w:t>备注：项目不分标段的，第___标段空白处填写“/”。</w:t>
      </w:r>
    </w:p>
    <w:p w14:paraId="2DD502A6">
      <w:pPr>
        <w:spacing w:line="240" w:lineRule="auto"/>
        <w:jc w:val="left"/>
        <w:rPr>
          <w:b/>
          <w:bCs/>
          <w:color w:val="auto"/>
          <w:sz w:val="30"/>
          <w:szCs w:val="30"/>
        </w:rPr>
      </w:pPr>
    </w:p>
    <w:p w14:paraId="5792635D">
      <w:pPr>
        <w:pStyle w:val="9"/>
        <w:rPr>
          <w:b/>
          <w:bCs/>
          <w:color w:val="auto"/>
          <w:sz w:val="30"/>
          <w:szCs w:val="30"/>
        </w:rPr>
      </w:pPr>
    </w:p>
    <w:p w14:paraId="6CFA7807">
      <w:pPr>
        <w:pStyle w:val="9"/>
        <w:rPr>
          <w:b/>
          <w:bCs/>
          <w:color w:val="auto"/>
          <w:sz w:val="30"/>
          <w:szCs w:val="30"/>
        </w:rPr>
      </w:pPr>
    </w:p>
    <w:p w14:paraId="06ECFEE5">
      <w:pPr>
        <w:pStyle w:val="9"/>
        <w:rPr>
          <w:b/>
          <w:bCs/>
          <w:color w:val="auto"/>
          <w:sz w:val="30"/>
          <w:szCs w:val="30"/>
        </w:rPr>
      </w:pPr>
    </w:p>
    <w:p w14:paraId="2C96FBFD">
      <w:pPr>
        <w:pStyle w:val="9"/>
        <w:rPr>
          <w:b/>
          <w:bCs/>
          <w:color w:val="auto"/>
          <w:sz w:val="30"/>
          <w:szCs w:val="30"/>
        </w:rPr>
      </w:pPr>
    </w:p>
    <w:p w14:paraId="4E1F58E8">
      <w:pPr>
        <w:pStyle w:val="2"/>
        <w:ind w:firstLine="304"/>
        <w:rPr>
          <w:b/>
          <w:bCs/>
          <w:color w:val="auto"/>
          <w:sz w:val="30"/>
          <w:szCs w:val="30"/>
        </w:rPr>
      </w:pPr>
    </w:p>
    <w:p w14:paraId="3C9977FA">
      <w:pPr>
        <w:pStyle w:val="2"/>
        <w:numPr>
          <w:ilvl w:val="0"/>
          <w:numId w:val="8"/>
        </w:numPr>
        <w:spacing w:after="0"/>
        <w:ind w:firstLine="0" w:firstLineChars="0"/>
        <w:outlineLvl w:val="2"/>
        <w:rPr>
          <w:rFonts w:hint="eastAsia" w:ascii="仿宋" w:hAnsi="仿宋" w:eastAsia="仿宋" w:cs="仿宋"/>
          <w:b/>
          <w:bCs/>
          <w:sz w:val="30"/>
          <w:szCs w:val="30"/>
        </w:rPr>
      </w:pPr>
      <w:r>
        <w:rPr>
          <w:rFonts w:hint="eastAsia" w:ascii="仿宋" w:hAnsi="仿宋" w:eastAsia="仿宋" w:cs="仿宋"/>
          <w:b/>
          <w:bCs/>
          <w:sz w:val="30"/>
          <w:szCs w:val="30"/>
        </w:rPr>
        <w:t>控股管理关系</w:t>
      </w:r>
    </w:p>
    <w:p w14:paraId="6F88EF7A">
      <w:pPr>
        <w:pStyle w:val="2"/>
        <w:numPr>
          <w:ilvl w:val="0"/>
          <w:numId w:val="0"/>
        </w:numPr>
        <w:spacing w:after="0"/>
        <w:ind w:firstLine="606" w:firstLineChars="200"/>
        <w:outlineLvl w:val="2"/>
        <w:rPr>
          <w:rFonts w:hint="eastAsia" w:ascii="仿宋" w:hAnsi="仿宋" w:eastAsia="仿宋" w:cs="仿宋"/>
          <w:b/>
          <w:bCs/>
          <w:sz w:val="30"/>
          <w:szCs w:val="30"/>
        </w:rPr>
      </w:pPr>
      <w:r>
        <w:rPr>
          <w:rFonts w:hint="eastAsia" w:ascii="仿宋" w:hAnsi="仿宋" w:eastAsia="仿宋" w:cs="仿宋"/>
          <w:b/>
          <w:bCs/>
          <w:sz w:val="30"/>
          <w:szCs w:val="30"/>
        </w:rPr>
        <w:t>供应商提供直接控股和管理关系清单，格式不限。</w:t>
      </w:r>
    </w:p>
    <w:p w14:paraId="00511EBE">
      <w:pPr>
        <w:pStyle w:val="2"/>
        <w:numPr>
          <w:ilvl w:val="0"/>
          <w:numId w:val="0"/>
        </w:numPr>
        <w:spacing w:after="0"/>
        <w:ind w:firstLine="606" w:firstLineChars="200"/>
        <w:jc w:val="center"/>
        <w:outlineLvl w:val="2"/>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控股管理关系（样表）</w:t>
      </w:r>
    </w:p>
    <w:p w14:paraId="0312290C">
      <w:pPr>
        <w:spacing w:line="500" w:lineRule="exact"/>
        <w:rPr>
          <w:rFonts w:hint="eastAsia" w:ascii="仿宋" w:hAnsi="仿宋" w:eastAsia="仿宋" w:cs="仿宋"/>
        </w:rPr>
      </w:pPr>
      <w:r>
        <w:rPr>
          <w:rFonts w:hint="eastAsia" w:ascii="仿宋" w:hAnsi="仿宋" w:eastAsia="仿宋" w:cs="仿宋"/>
        </w:rPr>
        <w:t>陕西省省级单位政府采购中心：</w:t>
      </w:r>
    </w:p>
    <w:p w14:paraId="470F07E9">
      <w:pPr>
        <w:spacing w:line="500" w:lineRule="exact"/>
        <w:ind w:firstLine="566" w:firstLineChars="200"/>
        <w:rPr>
          <w:rFonts w:hint="default" w:ascii="仿宋" w:hAnsi="仿宋" w:eastAsia="仿宋" w:cs="仿宋"/>
          <w:b/>
          <w:bCs/>
          <w:sz w:val="30"/>
          <w:szCs w:val="30"/>
          <w:lang w:val="en-US" w:eastAsia="zh-CN"/>
        </w:rPr>
      </w:pPr>
      <w:r>
        <w:rPr>
          <w:rFonts w:hint="eastAsia" w:ascii="仿宋" w:hAnsi="仿宋" w:eastAsia="仿宋" w:cs="仿宋"/>
        </w:rPr>
        <w:t>我方</w:t>
      </w:r>
      <w:r>
        <w:rPr>
          <w:rFonts w:hint="eastAsia" w:ascii="仿宋" w:hAnsi="仿宋" w:eastAsia="仿宋" w:cs="仿宋"/>
          <w:lang w:val="en-US" w:eastAsia="zh-CN"/>
        </w:rPr>
        <w:t>与以下供应商存在直接控股、管理关系：</w:t>
      </w: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7494"/>
      </w:tblGrid>
      <w:tr w14:paraId="14AA05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2"/>
            <w:tcBorders>
              <w:left w:val="single" w:color="auto" w:sz="12" w:space="0"/>
              <w:right w:val="single" w:color="auto" w:sz="12" w:space="0"/>
            </w:tcBorders>
            <w:shd w:val="clear" w:color="auto" w:fill="F7CAAC"/>
            <w:noWrap w:val="0"/>
            <w:vAlign w:val="center"/>
          </w:tcPr>
          <w:p w14:paraId="6AF288E2">
            <w:pPr>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存在直接控股、管理关系的相关供应商</w:t>
            </w:r>
          </w:p>
        </w:tc>
      </w:tr>
      <w:tr w14:paraId="4E3B0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6A649CFF">
            <w:pPr>
              <w:autoSpaceDE w:val="0"/>
              <w:autoSpaceDN w:val="0"/>
              <w:adjustRightInd w:val="0"/>
              <w:spacing w:line="320" w:lineRule="exact"/>
              <w:jc w:val="center"/>
              <w:rPr>
                <w:rFonts w:hint="eastAsia" w:ascii="仿宋" w:hAnsi="仿宋" w:eastAsia="仿宋" w:cs="仿宋"/>
                <w:kern w:val="0"/>
                <w:sz w:val="24"/>
                <w:szCs w:val="24"/>
              </w:rPr>
            </w:pPr>
            <w:r>
              <w:rPr>
                <w:rFonts w:hint="eastAsia" w:ascii="仿宋" w:hAnsi="仿宋" w:eastAsia="仿宋" w:cs="仿宋"/>
                <w:bCs/>
                <w:kern w:val="0"/>
                <w:sz w:val="24"/>
                <w:szCs w:val="24"/>
              </w:rPr>
              <w:t>关系</w:t>
            </w:r>
          </w:p>
        </w:tc>
        <w:tc>
          <w:tcPr>
            <w:tcW w:w="7494" w:type="dxa"/>
            <w:tcBorders>
              <w:right w:val="single" w:color="auto" w:sz="12" w:space="0"/>
            </w:tcBorders>
            <w:noWrap w:val="0"/>
            <w:vAlign w:val="center"/>
          </w:tcPr>
          <w:p w14:paraId="489995F0">
            <w:pPr>
              <w:autoSpaceDE w:val="0"/>
              <w:autoSpaceDN w:val="0"/>
              <w:adjustRightInd w:val="0"/>
              <w:spacing w:line="320" w:lineRule="exact"/>
              <w:jc w:val="center"/>
              <w:rPr>
                <w:rFonts w:hint="eastAsia" w:ascii="仿宋" w:hAnsi="仿宋" w:eastAsia="仿宋" w:cs="仿宋"/>
                <w:bCs/>
                <w:kern w:val="0"/>
                <w:sz w:val="24"/>
                <w:szCs w:val="24"/>
              </w:rPr>
            </w:pPr>
            <w:r>
              <w:rPr>
                <w:rFonts w:hint="eastAsia" w:ascii="仿宋" w:hAnsi="仿宋" w:eastAsia="仿宋" w:cs="仿宋"/>
                <w:bCs/>
                <w:kern w:val="0"/>
                <w:sz w:val="24"/>
                <w:szCs w:val="24"/>
              </w:rPr>
              <w:t>供应商名称</w:t>
            </w:r>
          </w:p>
        </w:tc>
      </w:tr>
      <w:tr w14:paraId="56A2DE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1B0F4462">
            <w:pPr>
              <w:autoSpaceDE w:val="0"/>
              <w:autoSpaceDN w:val="0"/>
              <w:adjustRightInd w:val="0"/>
              <w:spacing w:line="320" w:lineRule="exact"/>
              <w:jc w:val="center"/>
              <w:rPr>
                <w:rFonts w:hint="eastAsia" w:ascii="仿宋" w:hAnsi="仿宋" w:eastAsia="仿宋" w:cs="仿宋"/>
                <w:kern w:val="0"/>
                <w:sz w:val="24"/>
                <w:szCs w:val="24"/>
              </w:rPr>
            </w:pPr>
          </w:p>
        </w:tc>
        <w:tc>
          <w:tcPr>
            <w:tcW w:w="7494" w:type="dxa"/>
            <w:tcBorders>
              <w:right w:val="single" w:color="auto" w:sz="12" w:space="0"/>
            </w:tcBorders>
            <w:noWrap w:val="0"/>
            <w:vAlign w:val="center"/>
          </w:tcPr>
          <w:p w14:paraId="147FD1FE">
            <w:pPr>
              <w:autoSpaceDE w:val="0"/>
              <w:autoSpaceDN w:val="0"/>
              <w:adjustRightInd w:val="0"/>
              <w:spacing w:line="320" w:lineRule="exact"/>
              <w:rPr>
                <w:rFonts w:hint="eastAsia" w:ascii="仿宋" w:hAnsi="仿宋" w:eastAsia="仿宋" w:cs="仿宋"/>
                <w:bCs/>
                <w:kern w:val="0"/>
                <w:sz w:val="24"/>
                <w:szCs w:val="24"/>
              </w:rPr>
            </w:pPr>
          </w:p>
        </w:tc>
      </w:tr>
      <w:tr w14:paraId="61EAC1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487C3FC8">
            <w:pPr>
              <w:autoSpaceDE w:val="0"/>
              <w:autoSpaceDN w:val="0"/>
              <w:adjustRightInd w:val="0"/>
              <w:spacing w:line="320" w:lineRule="exact"/>
              <w:jc w:val="center"/>
              <w:rPr>
                <w:rFonts w:hint="eastAsia" w:ascii="仿宋" w:hAnsi="仿宋" w:eastAsia="仿宋" w:cs="仿宋"/>
                <w:kern w:val="0"/>
                <w:sz w:val="24"/>
                <w:szCs w:val="24"/>
              </w:rPr>
            </w:pPr>
          </w:p>
        </w:tc>
        <w:tc>
          <w:tcPr>
            <w:tcW w:w="7494" w:type="dxa"/>
            <w:tcBorders>
              <w:right w:val="single" w:color="auto" w:sz="12" w:space="0"/>
            </w:tcBorders>
            <w:noWrap w:val="0"/>
            <w:vAlign w:val="center"/>
          </w:tcPr>
          <w:p w14:paraId="14B60598">
            <w:pPr>
              <w:autoSpaceDE w:val="0"/>
              <w:autoSpaceDN w:val="0"/>
              <w:adjustRightInd w:val="0"/>
              <w:spacing w:line="320" w:lineRule="exact"/>
              <w:rPr>
                <w:rFonts w:hint="eastAsia" w:ascii="仿宋" w:hAnsi="仿宋" w:eastAsia="仿宋" w:cs="仿宋"/>
                <w:bCs/>
                <w:kern w:val="0"/>
                <w:sz w:val="24"/>
                <w:szCs w:val="24"/>
              </w:rPr>
            </w:pPr>
          </w:p>
        </w:tc>
      </w:tr>
      <w:tr w14:paraId="31BAC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4036BC7B">
            <w:pPr>
              <w:autoSpaceDE w:val="0"/>
              <w:autoSpaceDN w:val="0"/>
              <w:adjustRightInd w:val="0"/>
              <w:spacing w:line="320" w:lineRule="exact"/>
              <w:jc w:val="center"/>
              <w:rPr>
                <w:rFonts w:hint="eastAsia" w:ascii="仿宋" w:hAnsi="仿宋" w:eastAsia="仿宋" w:cs="仿宋"/>
                <w:kern w:val="0"/>
                <w:sz w:val="24"/>
                <w:szCs w:val="24"/>
              </w:rPr>
            </w:pPr>
          </w:p>
        </w:tc>
        <w:tc>
          <w:tcPr>
            <w:tcW w:w="7494" w:type="dxa"/>
            <w:tcBorders>
              <w:right w:val="single" w:color="auto" w:sz="12" w:space="0"/>
            </w:tcBorders>
            <w:noWrap w:val="0"/>
            <w:vAlign w:val="center"/>
          </w:tcPr>
          <w:p w14:paraId="66A9AF80">
            <w:pPr>
              <w:autoSpaceDE w:val="0"/>
              <w:autoSpaceDN w:val="0"/>
              <w:adjustRightInd w:val="0"/>
              <w:spacing w:line="320" w:lineRule="exact"/>
              <w:rPr>
                <w:rFonts w:hint="eastAsia" w:ascii="仿宋" w:hAnsi="仿宋" w:eastAsia="仿宋" w:cs="仿宋"/>
                <w:bCs/>
                <w:kern w:val="0"/>
                <w:sz w:val="24"/>
                <w:szCs w:val="24"/>
              </w:rPr>
            </w:pPr>
          </w:p>
        </w:tc>
      </w:tr>
    </w:tbl>
    <w:p w14:paraId="7DA54D45">
      <w:pPr>
        <w:spacing w:line="500" w:lineRule="exact"/>
        <w:ind w:firstLine="4528" w:firstLineChars="1600"/>
        <w:rPr>
          <w:rFonts w:hint="eastAsia" w:ascii="仿宋" w:hAnsi="仿宋" w:eastAsia="仿宋" w:cs="仿宋"/>
        </w:rPr>
      </w:pPr>
    </w:p>
    <w:p w14:paraId="0474B3CF">
      <w:pPr>
        <w:spacing w:line="500" w:lineRule="exact"/>
        <w:ind w:firstLine="4528" w:firstLineChars="1600"/>
        <w:rPr>
          <w:rFonts w:hint="eastAsia" w:ascii="仿宋" w:hAnsi="仿宋" w:eastAsia="仿宋" w:cs="仿宋"/>
        </w:rPr>
      </w:pPr>
      <w:r>
        <w:rPr>
          <w:rFonts w:hint="eastAsia" w:ascii="仿宋" w:hAnsi="仿宋" w:eastAsia="仿宋" w:cs="仿宋"/>
        </w:rPr>
        <w:t xml:space="preserve">供应商： </w:t>
      </w:r>
      <w:r>
        <w:rPr>
          <w:rFonts w:hint="eastAsia" w:ascii="仿宋" w:hAnsi="仿宋" w:eastAsia="仿宋" w:cs="仿宋"/>
          <w:u w:val="single"/>
        </w:rPr>
        <w:t>名称</w:t>
      </w:r>
      <w:r>
        <w:rPr>
          <w:rFonts w:hint="eastAsia" w:ascii="仿宋" w:hAnsi="仿宋" w:eastAsia="仿宋" w:cs="仿宋"/>
        </w:rPr>
        <w:t>（加盖公章）</w:t>
      </w:r>
    </w:p>
    <w:p w14:paraId="6012B9A4">
      <w:pPr>
        <w:spacing w:line="500" w:lineRule="exact"/>
        <w:ind w:firstLine="4528" w:firstLineChars="1600"/>
        <w:rPr>
          <w:rFonts w:hint="default" w:ascii="仿宋" w:hAnsi="仿宋" w:eastAsia="仿宋" w:cs="仿宋"/>
          <w:lang w:val="en-US" w:eastAsia="zh-CN"/>
        </w:rPr>
      </w:pPr>
      <w:r>
        <w:rPr>
          <w:rFonts w:hint="eastAsia" w:ascii="仿宋" w:hAnsi="仿宋" w:eastAsia="仿宋" w:cs="仿宋"/>
        </w:rPr>
        <w:t>日期：  年  月</w:t>
      </w:r>
      <w:r>
        <w:rPr>
          <w:rFonts w:hint="eastAsia" w:ascii="仿宋" w:hAnsi="仿宋" w:eastAsia="仿宋" w:cs="仿宋"/>
          <w:lang w:val="en-US" w:eastAsia="zh-CN"/>
        </w:rPr>
        <w:t xml:space="preserve">  日</w:t>
      </w:r>
    </w:p>
    <w:p w14:paraId="545423D8">
      <w:pPr>
        <w:numPr>
          <w:ilvl w:val="0"/>
          <w:numId w:val="8"/>
        </w:numPr>
        <w:spacing w:line="500" w:lineRule="exact"/>
        <w:rPr>
          <w:rFonts w:hint="eastAsia" w:ascii="仿宋" w:hAnsi="仿宋" w:eastAsia="仿宋" w:cs="仿宋"/>
          <w:b/>
          <w:bCs/>
          <w:sz w:val="30"/>
          <w:szCs w:val="30"/>
        </w:rPr>
      </w:pPr>
      <w:r>
        <w:rPr>
          <w:rFonts w:hint="eastAsia" w:ascii="仿宋" w:hAnsi="仿宋" w:eastAsia="仿宋" w:cs="仿宋"/>
          <w:b/>
          <w:bCs/>
          <w:sz w:val="30"/>
          <w:szCs w:val="30"/>
        </w:rPr>
        <w:t>书面声明</w:t>
      </w:r>
    </w:p>
    <w:p w14:paraId="36585056">
      <w:pPr>
        <w:spacing w:line="500" w:lineRule="exact"/>
        <w:jc w:val="center"/>
        <w:rPr>
          <w:rFonts w:hint="eastAsia" w:ascii="仿宋" w:hAnsi="仿宋" w:eastAsia="仿宋" w:cs="仿宋"/>
          <w:b/>
          <w:bCs/>
          <w:sz w:val="30"/>
          <w:szCs w:val="30"/>
        </w:rPr>
      </w:pPr>
      <w:r>
        <w:rPr>
          <w:rFonts w:hint="eastAsia" w:ascii="仿宋" w:hAnsi="仿宋" w:eastAsia="仿宋" w:cs="仿宋"/>
          <w:b/>
          <w:bCs/>
          <w:sz w:val="30"/>
          <w:szCs w:val="30"/>
        </w:rPr>
        <w:t>书面声明</w:t>
      </w:r>
    </w:p>
    <w:p w14:paraId="7CE8688F">
      <w:pPr>
        <w:spacing w:line="500" w:lineRule="exact"/>
        <w:rPr>
          <w:rFonts w:hint="eastAsia" w:ascii="仿宋" w:hAnsi="仿宋" w:eastAsia="仿宋" w:cs="仿宋"/>
        </w:rPr>
      </w:pPr>
      <w:r>
        <w:rPr>
          <w:rFonts w:hint="eastAsia" w:ascii="仿宋" w:hAnsi="仿宋" w:eastAsia="仿宋" w:cs="仿宋"/>
        </w:rPr>
        <w:t>陕西省省级单位政府采购中心：</w:t>
      </w:r>
    </w:p>
    <w:p w14:paraId="7CBEAAD4">
      <w:pPr>
        <w:spacing w:line="500" w:lineRule="exact"/>
        <w:ind w:firstLine="566" w:firstLineChars="200"/>
        <w:rPr>
          <w:rFonts w:hint="eastAsia" w:ascii="仿宋" w:hAnsi="仿宋" w:eastAsia="仿宋" w:cs="仿宋"/>
        </w:rPr>
      </w:pPr>
      <w:r>
        <w:rPr>
          <w:rFonts w:hint="eastAsia" w:ascii="仿宋" w:hAnsi="仿宋" w:eastAsia="仿宋" w:cs="仿宋"/>
        </w:rPr>
        <w:t>我方作为《项目名称》（项目编号：</w:t>
      </w:r>
      <w:r>
        <w:rPr>
          <w:rFonts w:hint="eastAsia" w:ascii="仿宋" w:hAnsi="仿宋" w:eastAsia="仿宋" w:cs="仿宋"/>
          <w:u w:val="single"/>
        </w:rPr>
        <w:t xml:space="preserve">             </w:t>
      </w:r>
      <w:r>
        <w:rPr>
          <w:rFonts w:hint="eastAsia" w:ascii="仿宋" w:hAnsi="仿宋" w:eastAsia="仿宋" w:cs="仿宋"/>
        </w:rPr>
        <w:t>）第</w:t>
      </w:r>
      <w:r>
        <w:rPr>
          <w:rFonts w:hint="eastAsia" w:ascii="仿宋" w:hAnsi="仿宋" w:eastAsia="仿宋" w:cs="仿宋"/>
          <w:u w:val="single"/>
        </w:rPr>
        <w:t xml:space="preserve">  </w:t>
      </w:r>
      <w:r>
        <w:rPr>
          <w:rFonts w:hint="eastAsia" w:ascii="仿宋" w:hAnsi="仿宋" w:eastAsia="仿宋" w:cs="仿宋"/>
        </w:rPr>
        <w:t>标段的投标供应商，在此郑重声明：</w:t>
      </w:r>
    </w:p>
    <w:p w14:paraId="57D5B47F">
      <w:pPr>
        <w:numPr>
          <w:ilvl w:val="0"/>
          <w:numId w:val="9"/>
        </w:numPr>
        <w:spacing w:line="500" w:lineRule="exact"/>
        <w:ind w:firstLine="566" w:firstLineChars="200"/>
        <w:rPr>
          <w:rFonts w:hint="eastAsia" w:ascii="仿宋" w:hAnsi="仿宋" w:eastAsia="仿宋" w:cs="仿宋"/>
        </w:rPr>
      </w:pPr>
      <w:r>
        <w:rPr>
          <w:rFonts w:hint="eastAsia" w:ascii="仿宋" w:hAnsi="仿宋" w:eastAsia="仿宋" w:cs="仿宋"/>
        </w:rPr>
        <w:t>我方具备履行合同所必须的设备和专业技术能力。</w:t>
      </w:r>
    </w:p>
    <w:p w14:paraId="332E4540">
      <w:pPr>
        <w:spacing w:line="500" w:lineRule="exact"/>
        <w:ind w:firstLine="566" w:firstLineChars="200"/>
        <w:rPr>
          <w:rFonts w:hint="eastAsia" w:ascii="仿宋" w:hAnsi="仿宋" w:eastAsia="仿宋" w:cs="仿宋"/>
        </w:rPr>
      </w:pPr>
      <w:r>
        <w:rPr>
          <w:rFonts w:hint="eastAsia" w:ascii="仿宋" w:hAnsi="仿宋" w:eastAsia="仿宋" w:cs="仿宋"/>
        </w:rPr>
        <w:t>2、我方未为本项目提供整体设计、规范编制或者项目管理、监理、检测等服务。若为信息系统采购项目，</w:t>
      </w:r>
      <w:r>
        <w:rPr>
          <w:rFonts w:hint="eastAsia" w:ascii="仿宋" w:hAnsi="仿宋" w:eastAsia="仿宋" w:cs="仿宋"/>
          <w:lang w:val="en-US" w:eastAsia="zh-CN"/>
        </w:rPr>
        <w:t>我方</w:t>
      </w:r>
      <w:r>
        <w:rPr>
          <w:rFonts w:hint="eastAsia" w:ascii="仿宋" w:hAnsi="仿宋" w:eastAsia="仿宋" w:cs="仿宋"/>
        </w:rPr>
        <w:t>及其母公司、附属单位未为该整体项目或其中分项目前期工作提供过设计、编制、管理等服务。</w:t>
      </w:r>
    </w:p>
    <w:p w14:paraId="47B6547D">
      <w:pPr>
        <w:spacing w:line="500" w:lineRule="exact"/>
        <w:ind w:firstLine="566" w:firstLineChars="200"/>
        <w:rPr>
          <w:rFonts w:hint="eastAsia" w:ascii="仿宋" w:hAnsi="仿宋" w:eastAsia="仿宋" w:cs="仿宋"/>
        </w:rPr>
      </w:pPr>
      <w:r>
        <w:rPr>
          <w:rFonts w:hint="eastAsia" w:ascii="仿宋" w:hAnsi="仿宋" w:eastAsia="仿宋" w:cs="仿宋"/>
        </w:rPr>
        <w:t>如有不实，我方将无条件地退出本项目的采购活动，并遵照《政府采购法》有关“提供虚假材料的规定”接受处罚。</w:t>
      </w:r>
    </w:p>
    <w:p w14:paraId="4EC6B210">
      <w:pPr>
        <w:spacing w:line="500" w:lineRule="exact"/>
        <w:rPr>
          <w:rFonts w:hint="eastAsia" w:ascii="仿宋" w:hAnsi="仿宋" w:eastAsia="仿宋" w:cs="仿宋"/>
        </w:rPr>
      </w:pPr>
      <w:r>
        <w:rPr>
          <w:rFonts w:hint="eastAsia" w:ascii="仿宋" w:hAnsi="仿宋" w:eastAsia="仿宋" w:cs="仿宋"/>
        </w:rPr>
        <w:t>特此声明。</w:t>
      </w:r>
    </w:p>
    <w:p w14:paraId="36A5F216">
      <w:pPr>
        <w:spacing w:line="500" w:lineRule="exact"/>
        <w:ind w:firstLine="4528" w:firstLineChars="1600"/>
        <w:rPr>
          <w:rFonts w:hint="eastAsia" w:ascii="仿宋" w:hAnsi="仿宋" w:eastAsia="仿宋" w:cs="仿宋"/>
        </w:rPr>
      </w:pPr>
      <w:r>
        <w:rPr>
          <w:rFonts w:hint="eastAsia" w:ascii="仿宋" w:hAnsi="仿宋" w:eastAsia="仿宋" w:cs="仿宋"/>
        </w:rPr>
        <w:t xml:space="preserve">供应商： </w:t>
      </w:r>
      <w:r>
        <w:rPr>
          <w:rFonts w:hint="eastAsia" w:ascii="仿宋" w:hAnsi="仿宋" w:eastAsia="仿宋" w:cs="仿宋"/>
          <w:u w:val="single"/>
        </w:rPr>
        <w:t>名称</w:t>
      </w:r>
      <w:r>
        <w:rPr>
          <w:rFonts w:hint="eastAsia" w:ascii="仿宋" w:hAnsi="仿宋" w:eastAsia="仿宋" w:cs="仿宋"/>
        </w:rPr>
        <w:t>（加盖公章）</w:t>
      </w:r>
    </w:p>
    <w:p w14:paraId="54BB567F">
      <w:pPr>
        <w:spacing w:line="500" w:lineRule="exact"/>
        <w:ind w:firstLine="4528" w:firstLineChars="1600"/>
        <w:rPr>
          <w:rFonts w:hint="default" w:ascii="仿宋" w:hAnsi="仿宋" w:eastAsia="仿宋" w:cs="仿宋"/>
          <w:lang w:val="en-US" w:eastAsia="zh-CN"/>
        </w:rPr>
      </w:pPr>
      <w:r>
        <w:rPr>
          <w:rFonts w:hint="eastAsia" w:ascii="仿宋" w:hAnsi="仿宋" w:eastAsia="仿宋" w:cs="仿宋"/>
        </w:rPr>
        <w:t>日期：  年  月</w:t>
      </w:r>
      <w:r>
        <w:rPr>
          <w:rFonts w:hint="eastAsia" w:ascii="仿宋" w:hAnsi="仿宋" w:eastAsia="仿宋" w:cs="仿宋"/>
          <w:lang w:val="en-US" w:eastAsia="zh-CN"/>
        </w:rPr>
        <w:t xml:space="preserve">  日</w:t>
      </w:r>
    </w:p>
    <w:p w14:paraId="4FE54896">
      <w:pPr>
        <w:spacing w:line="500" w:lineRule="exact"/>
        <w:rPr>
          <w:rFonts w:hint="eastAsia" w:ascii="仿宋" w:hAnsi="仿宋" w:eastAsia="仿宋" w:cs="仿宋"/>
          <w:b/>
          <w:bCs/>
          <w:sz w:val="30"/>
          <w:szCs w:val="30"/>
        </w:rPr>
      </w:pPr>
      <w:r>
        <w:rPr>
          <w:rFonts w:hint="eastAsia" w:ascii="宋体" w:hAnsi="宋体" w:eastAsia="宋体" w:cs="宋体"/>
          <w:sz w:val="21"/>
          <w:szCs w:val="21"/>
        </w:rPr>
        <w:t>备注：项目不分标段的，第</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标段空白处填写“/”。 </w:t>
      </w: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 xml:space="preserve">  </w:t>
      </w:r>
    </w:p>
    <w:p w14:paraId="00482290">
      <w:pPr>
        <w:pStyle w:val="2"/>
        <w:ind w:firstLine="304"/>
        <w:rPr>
          <w:b/>
          <w:bCs/>
          <w:color w:val="auto"/>
          <w:sz w:val="30"/>
          <w:szCs w:val="30"/>
        </w:rPr>
      </w:pPr>
    </w:p>
    <w:p w14:paraId="6E7A954C">
      <w:pPr>
        <w:pStyle w:val="2"/>
        <w:ind w:firstLine="304"/>
        <w:rPr>
          <w:b/>
          <w:bCs/>
          <w:color w:val="auto"/>
          <w:sz w:val="30"/>
          <w:szCs w:val="30"/>
        </w:rPr>
      </w:pPr>
    </w:p>
    <w:p w14:paraId="262CCEE0">
      <w:pPr>
        <w:pStyle w:val="2"/>
        <w:ind w:firstLine="304"/>
        <w:rPr>
          <w:b/>
          <w:bCs/>
          <w:color w:val="auto"/>
          <w:sz w:val="30"/>
          <w:szCs w:val="30"/>
        </w:rPr>
      </w:pPr>
    </w:p>
    <w:p w14:paraId="2BEB6614">
      <w:pPr>
        <w:pStyle w:val="2"/>
        <w:ind w:firstLine="304"/>
        <w:rPr>
          <w:b/>
          <w:bCs/>
          <w:color w:val="auto"/>
          <w:sz w:val="30"/>
          <w:szCs w:val="30"/>
        </w:rPr>
      </w:pPr>
    </w:p>
    <w:p w14:paraId="06D83483">
      <w:pPr>
        <w:pStyle w:val="2"/>
        <w:ind w:firstLine="304"/>
        <w:rPr>
          <w:b/>
          <w:bCs/>
          <w:color w:val="auto"/>
          <w:sz w:val="30"/>
          <w:szCs w:val="30"/>
        </w:rPr>
      </w:pPr>
    </w:p>
    <w:p w14:paraId="707F8FDF">
      <w:pPr>
        <w:pStyle w:val="2"/>
        <w:ind w:firstLine="304"/>
        <w:rPr>
          <w:b/>
          <w:bCs/>
          <w:color w:val="auto"/>
          <w:sz w:val="30"/>
          <w:szCs w:val="30"/>
        </w:rPr>
      </w:pPr>
    </w:p>
    <w:p w14:paraId="6396B501">
      <w:pPr>
        <w:pStyle w:val="2"/>
        <w:ind w:firstLine="304"/>
        <w:rPr>
          <w:b/>
          <w:bCs/>
          <w:color w:val="auto"/>
          <w:sz w:val="30"/>
          <w:szCs w:val="30"/>
        </w:rPr>
      </w:pPr>
    </w:p>
    <w:p w14:paraId="35CFF43B">
      <w:pPr>
        <w:pStyle w:val="2"/>
        <w:ind w:firstLine="304"/>
        <w:rPr>
          <w:b/>
          <w:bCs/>
          <w:color w:val="auto"/>
          <w:sz w:val="30"/>
          <w:szCs w:val="30"/>
        </w:rPr>
      </w:pPr>
    </w:p>
    <w:p w14:paraId="233B96F0">
      <w:pPr>
        <w:pStyle w:val="2"/>
        <w:ind w:firstLine="304"/>
        <w:rPr>
          <w:b/>
          <w:bCs/>
          <w:color w:val="auto"/>
          <w:sz w:val="30"/>
          <w:szCs w:val="30"/>
        </w:rPr>
      </w:pPr>
    </w:p>
    <w:p w14:paraId="0E69DE50">
      <w:pPr>
        <w:pStyle w:val="2"/>
        <w:ind w:firstLine="304"/>
        <w:rPr>
          <w:b/>
          <w:bCs/>
          <w:color w:val="auto"/>
          <w:sz w:val="30"/>
          <w:szCs w:val="30"/>
        </w:rPr>
      </w:pPr>
    </w:p>
    <w:p w14:paraId="4EB9E03F">
      <w:pPr>
        <w:pStyle w:val="2"/>
        <w:ind w:firstLine="304"/>
        <w:rPr>
          <w:b/>
          <w:bCs/>
          <w:color w:val="auto"/>
          <w:sz w:val="30"/>
          <w:szCs w:val="30"/>
        </w:rPr>
      </w:pPr>
    </w:p>
    <w:p w14:paraId="71975FD6">
      <w:pPr>
        <w:pStyle w:val="49"/>
        <w:keepNext/>
        <w:keepLines/>
        <w:pageBreakBefore/>
        <w:widowControl/>
        <w:kinsoku/>
        <w:wordWrap/>
        <w:overflowPunct/>
        <w:topLinePunct w:val="0"/>
        <w:autoSpaceDE/>
        <w:autoSpaceDN/>
        <w:bidi w:val="0"/>
        <w:adjustRightInd/>
        <w:snapToGrid/>
        <w:spacing w:line="500" w:lineRule="atLeast"/>
        <w:textAlignment w:val="auto"/>
        <w:rPr>
          <w:color w:val="auto"/>
          <w:sz w:val="30"/>
          <w:szCs w:val="30"/>
        </w:rPr>
      </w:pPr>
      <w:bookmarkStart w:id="401" w:name="_Toc24625_WPSOffice_Level2"/>
      <w:bookmarkStart w:id="402" w:name="_Toc23486_WPSOffice_Level2"/>
      <w:bookmarkStart w:id="403" w:name="_Toc14516_WPSOffice_Level2"/>
      <w:bookmarkStart w:id="404" w:name="_Toc13298_WPSOffice_Level2"/>
      <w:r>
        <w:rPr>
          <w:rFonts w:hint="eastAsia"/>
          <w:color w:val="auto"/>
          <w:sz w:val="30"/>
          <w:szCs w:val="30"/>
          <w:lang w:val="en-US" w:eastAsia="zh-CN"/>
        </w:rPr>
        <w:t>八</w:t>
      </w:r>
      <w:r>
        <w:rPr>
          <w:rFonts w:hint="eastAsia"/>
          <w:color w:val="auto"/>
          <w:sz w:val="30"/>
          <w:szCs w:val="30"/>
        </w:rPr>
        <w:t>、</w:t>
      </w:r>
      <w:r>
        <w:rPr>
          <w:color w:val="auto"/>
          <w:sz w:val="30"/>
          <w:szCs w:val="30"/>
        </w:rPr>
        <w:t>法定代表人授权委托书</w:t>
      </w:r>
      <w:bookmarkEnd w:id="401"/>
      <w:bookmarkEnd w:id="402"/>
      <w:bookmarkEnd w:id="403"/>
      <w:bookmarkEnd w:id="404"/>
    </w:p>
    <w:p w14:paraId="4CB9DE9E">
      <w:pPr>
        <w:bidi w:val="0"/>
        <w:ind w:firstLine="569"/>
        <w:jc w:val="left"/>
        <w:rPr>
          <w:rFonts w:hint="eastAsia"/>
          <w:b w:val="0"/>
          <w:bCs w:val="0"/>
          <w:lang w:val="en-US" w:eastAsia="zh-CN"/>
        </w:rPr>
      </w:pPr>
      <w:bookmarkStart w:id="405" w:name="_Toc19993_WPSOffice_Level3"/>
      <w:r>
        <w:rPr>
          <w:rFonts w:hint="eastAsia"/>
          <w:b w:val="0"/>
          <w:bCs w:val="0"/>
          <w:lang w:val="en-US" w:eastAsia="zh-CN"/>
        </w:rPr>
        <w:t>法定代表人亲自参加投标的，无需提供该授权委托书，但需提供法定代表人身份证（正反面）复印件。</w:t>
      </w:r>
    </w:p>
    <w:p w14:paraId="68652300">
      <w:pPr>
        <w:bidi w:val="0"/>
        <w:ind w:firstLine="569"/>
        <w:jc w:val="left"/>
        <w:rPr>
          <w:rFonts w:hint="default"/>
          <w:b/>
          <w:bCs/>
          <w:lang w:val="en-US" w:eastAsia="zh-CN"/>
        </w:rPr>
      </w:pPr>
    </w:p>
    <w:p w14:paraId="56F8CF97">
      <w:pPr>
        <w:bidi w:val="0"/>
        <w:jc w:val="left"/>
        <w:rPr>
          <w:rFonts w:hint="default"/>
          <w:b/>
          <w:bCs/>
          <w:lang w:val="en-US" w:eastAsia="zh-CN"/>
        </w:rPr>
      </w:pPr>
      <w:r>
        <w:rPr>
          <w:rFonts w:hint="default"/>
          <w:b/>
          <w:bCs/>
          <w:lang w:val="en-US" w:eastAsia="zh-CN"/>
        </w:rPr>
        <w:br w:type="page"/>
      </w:r>
    </w:p>
    <w:p w14:paraId="44A98C2E">
      <w:pPr>
        <w:bidi w:val="0"/>
        <w:jc w:val="center"/>
        <w:rPr>
          <w:b/>
          <w:bCs/>
        </w:rPr>
      </w:pPr>
      <w:r>
        <w:rPr>
          <w:b/>
          <w:bCs/>
        </w:rPr>
        <w:t>法定代表人授权委托书</w:t>
      </w:r>
      <w:bookmarkEnd w:id="405"/>
    </w:p>
    <w:p w14:paraId="0785E6BC">
      <w:pPr>
        <w:snapToGrid w:val="0"/>
        <w:spacing w:line="500" w:lineRule="exact"/>
        <w:rPr>
          <w:color w:val="auto"/>
        </w:rPr>
      </w:pPr>
      <w:r>
        <w:rPr>
          <w:rFonts w:hint="eastAsia" w:ascii="华文仿宋" w:hAnsi="华文仿宋" w:cs="华文仿宋"/>
          <w:color w:val="auto"/>
        </w:rPr>
        <w:t>陕西省省级单位政府采购中心</w:t>
      </w:r>
      <w:r>
        <w:rPr>
          <w:color w:val="auto"/>
        </w:rPr>
        <w:t>：</w:t>
      </w:r>
    </w:p>
    <w:p w14:paraId="6E77FC11">
      <w:pPr>
        <w:spacing w:line="500" w:lineRule="exact"/>
        <w:ind w:firstLine="566" w:firstLineChars="200"/>
        <w:jc w:val="left"/>
        <w:rPr>
          <w:color w:val="auto"/>
        </w:rPr>
      </w:pPr>
      <w:r>
        <w:rPr>
          <w:color w:val="auto"/>
        </w:rPr>
        <w:t>现委派</w:t>
      </w:r>
      <w:r>
        <w:rPr>
          <w:color w:val="auto"/>
          <w:u w:val="single"/>
        </w:rPr>
        <w:t>（</w:t>
      </w:r>
      <w:r>
        <w:rPr>
          <w:rFonts w:hint="eastAsia"/>
          <w:color w:val="auto"/>
          <w:u w:val="single"/>
        </w:rPr>
        <w:t>授权代表</w:t>
      </w:r>
      <w:r>
        <w:rPr>
          <w:color w:val="auto"/>
          <w:u w:val="single"/>
        </w:rPr>
        <w:t>姓名）</w:t>
      </w:r>
      <w:r>
        <w:rPr>
          <w:color w:val="auto"/>
        </w:rPr>
        <w:t>为本公司的</w:t>
      </w:r>
      <w:r>
        <w:rPr>
          <w:rFonts w:hint="eastAsia"/>
          <w:color w:val="auto"/>
        </w:rPr>
        <w:t>授权代表</w:t>
      </w:r>
      <w:r>
        <w:rPr>
          <w:color w:val="auto"/>
        </w:rPr>
        <w:t>，参加</w:t>
      </w:r>
      <w:r>
        <w:rPr>
          <w:rFonts w:hint="eastAsia"/>
          <w:color w:val="auto"/>
        </w:rPr>
        <w:t>贵方</w:t>
      </w:r>
      <w:r>
        <w:rPr>
          <w:color w:val="auto"/>
        </w:rPr>
        <w:t>组织的</w:t>
      </w:r>
      <w:r>
        <w:rPr>
          <w:rFonts w:hint="eastAsia" w:ascii="华文仿宋" w:hAnsi="华文仿宋" w:cs="华文仿宋"/>
          <w:color w:val="auto"/>
        </w:rPr>
        <w:t>《</w:t>
      </w:r>
      <w:r>
        <w:rPr>
          <w:rFonts w:hint="eastAsia" w:ascii="华文仿宋" w:hAnsi="华文仿宋" w:cs="华文仿宋"/>
          <w:color w:val="auto"/>
          <w:u w:val="single"/>
        </w:rPr>
        <w:t xml:space="preserve"> 项目名称 </w:t>
      </w:r>
      <w:r>
        <w:rPr>
          <w:rFonts w:hint="eastAsia" w:ascii="华文仿宋" w:hAnsi="华文仿宋" w:cs="华文仿宋"/>
          <w:color w:val="auto"/>
        </w:rPr>
        <w:t>》</w:t>
      </w:r>
      <w:r>
        <w:rPr>
          <w:rFonts w:hint="eastAsia"/>
          <w:color w:val="auto"/>
        </w:rPr>
        <w:t>（项目编号：</w:t>
      </w:r>
      <w:r>
        <w:rPr>
          <w:rFonts w:hint="eastAsia"/>
          <w:color w:val="auto"/>
          <w:u w:val="single"/>
        </w:rPr>
        <w:t xml:space="preserve">     </w:t>
      </w:r>
      <w:r>
        <w:rPr>
          <w:rFonts w:hint="eastAsia"/>
          <w:color w:val="auto"/>
        </w:rPr>
        <w:t>）第___标段的</w:t>
      </w:r>
      <w:r>
        <w:rPr>
          <w:color w:val="auto"/>
        </w:rPr>
        <w:t>政府采购活动，就该项目的</w:t>
      </w:r>
      <w:r>
        <w:rPr>
          <w:rFonts w:hint="eastAsia"/>
          <w:color w:val="auto"/>
        </w:rPr>
        <w:t>磋商</w:t>
      </w:r>
      <w:r>
        <w:rPr>
          <w:color w:val="auto"/>
        </w:rPr>
        <w:t>及</w:t>
      </w:r>
      <w:r>
        <w:rPr>
          <w:rFonts w:hint="eastAsia"/>
          <w:color w:val="auto"/>
        </w:rPr>
        <w:t>合同</w:t>
      </w:r>
      <w:r>
        <w:rPr>
          <w:color w:val="auto"/>
        </w:rPr>
        <w:t>的执行和完成，以本公司的名义处理一切与之有关的事宜。</w:t>
      </w:r>
    </w:p>
    <w:p w14:paraId="3193405F">
      <w:pPr>
        <w:tabs>
          <w:tab w:val="left" w:pos="5245"/>
          <w:tab w:val="left" w:pos="6946"/>
        </w:tabs>
        <w:snapToGrid w:val="0"/>
        <w:spacing w:line="500" w:lineRule="exact"/>
        <w:ind w:firstLine="566" w:firstLineChars="200"/>
        <w:rPr>
          <w:color w:val="auto"/>
        </w:rPr>
      </w:pPr>
      <w:r>
        <w:rPr>
          <w:rFonts w:hint="eastAsia"/>
          <w:color w:val="auto"/>
        </w:rPr>
        <w:t>授权代表</w:t>
      </w:r>
      <w:r>
        <w:rPr>
          <w:color w:val="auto"/>
        </w:rPr>
        <w:t>姓名：_______________</w:t>
      </w:r>
      <w:r>
        <w:rPr>
          <w:color w:val="auto"/>
        </w:rPr>
        <w:tab/>
      </w:r>
      <w:r>
        <w:rPr>
          <w:color w:val="auto"/>
        </w:rPr>
        <w:t>性别：_____</w:t>
      </w:r>
      <w:r>
        <w:rPr>
          <w:color w:val="auto"/>
        </w:rPr>
        <w:tab/>
      </w:r>
    </w:p>
    <w:p w14:paraId="0304F2BB">
      <w:pPr>
        <w:tabs>
          <w:tab w:val="left" w:pos="5245"/>
        </w:tabs>
        <w:snapToGrid w:val="0"/>
        <w:spacing w:line="500" w:lineRule="exact"/>
        <w:ind w:firstLine="566" w:firstLineChars="200"/>
        <w:rPr>
          <w:color w:val="auto"/>
        </w:rPr>
      </w:pPr>
      <w:r>
        <w:rPr>
          <w:color w:val="auto"/>
        </w:rPr>
        <w:t>职务：________________           电话：_________</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00F7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14:paraId="798656D1">
            <w:pPr>
              <w:ind w:firstLine="8" w:firstLineChars="3"/>
              <w:jc w:val="center"/>
              <w:rPr>
                <w:color w:val="auto"/>
              </w:rPr>
            </w:pPr>
            <w:r>
              <w:rPr>
                <w:color w:val="auto"/>
              </w:rPr>
              <w:t>法定代表人身份证复印件</w:t>
            </w:r>
          </w:p>
          <w:p w14:paraId="7A0045A6">
            <w:pPr>
              <w:ind w:firstLine="8" w:firstLineChars="3"/>
              <w:jc w:val="center"/>
              <w:rPr>
                <w:color w:val="auto"/>
              </w:rPr>
            </w:pPr>
            <w:r>
              <w:rPr>
                <w:color w:val="auto"/>
              </w:rPr>
              <w:t>（</w:t>
            </w:r>
            <w:r>
              <w:rPr>
                <w:rFonts w:hint="eastAsia"/>
                <w:color w:val="auto"/>
              </w:rPr>
              <w:t>有人像</w:t>
            </w:r>
            <w:r>
              <w:rPr>
                <w:color w:val="auto"/>
              </w:rPr>
              <w:t>面粘贴处）</w:t>
            </w:r>
          </w:p>
        </w:tc>
        <w:tc>
          <w:tcPr>
            <w:tcW w:w="4098" w:type="dxa"/>
            <w:tcBorders>
              <w:top w:val="single" w:color="auto" w:sz="4" w:space="0"/>
              <w:left w:val="single" w:color="auto" w:sz="4" w:space="0"/>
              <w:bottom w:val="single" w:color="auto" w:sz="4" w:space="0"/>
              <w:right w:val="single" w:color="auto" w:sz="4" w:space="0"/>
            </w:tcBorders>
            <w:vAlign w:val="center"/>
          </w:tcPr>
          <w:p w14:paraId="78606B80">
            <w:pPr>
              <w:jc w:val="center"/>
              <w:rPr>
                <w:color w:val="auto"/>
              </w:rPr>
            </w:pPr>
            <w:r>
              <w:rPr>
                <w:color w:val="auto"/>
              </w:rPr>
              <w:t>授权</w:t>
            </w:r>
            <w:r>
              <w:rPr>
                <w:rFonts w:hint="eastAsia"/>
                <w:color w:val="auto"/>
              </w:rPr>
              <w:t>代表</w:t>
            </w:r>
          </w:p>
          <w:p w14:paraId="554BA88B">
            <w:pPr>
              <w:jc w:val="center"/>
              <w:rPr>
                <w:color w:val="auto"/>
              </w:rPr>
            </w:pPr>
            <w:r>
              <w:rPr>
                <w:color w:val="auto"/>
              </w:rPr>
              <w:t>身份证复印件</w:t>
            </w:r>
          </w:p>
          <w:p w14:paraId="5A6ACAE2">
            <w:pPr>
              <w:jc w:val="center"/>
              <w:rPr>
                <w:color w:val="auto"/>
              </w:rPr>
            </w:pPr>
            <w:r>
              <w:rPr>
                <w:color w:val="auto"/>
              </w:rPr>
              <w:t>（</w:t>
            </w:r>
            <w:r>
              <w:rPr>
                <w:rFonts w:hint="eastAsia"/>
                <w:color w:val="auto"/>
              </w:rPr>
              <w:t>有人像</w:t>
            </w:r>
            <w:r>
              <w:rPr>
                <w:color w:val="auto"/>
              </w:rPr>
              <w:t>面粘贴处）</w:t>
            </w:r>
          </w:p>
        </w:tc>
      </w:tr>
      <w:tr w14:paraId="7F03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2" w:type="dxa"/>
            <w:vAlign w:val="center"/>
          </w:tcPr>
          <w:p w14:paraId="29605AD3">
            <w:pPr>
              <w:jc w:val="center"/>
              <w:rPr>
                <w:color w:val="auto"/>
              </w:rPr>
            </w:pPr>
            <w:r>
              <w:rPr>
                <w:color w:val="auto"/>
              </w:rPr>
              <w:t>法定代表人身份证复印件</w:t>
            </w:r>
          </w:p>
          <w:p w14:paraId="137DD6C5">
            <w:pPr>
              <w:jc w:val="center"/>
              <w:rPr>
                <w:color w:val="auto"/>
              </w:rPr>
            </w:pPr>
            <w:r>
              <w:rPr>
                <w:color w:val="auto"/>
              </w:rPr>
              <w:t>（</w:t>
            </w:r>
            <w:r>
              <w:rPr>
                <w:rFonts w:hint="eastAsia"/>
                <w:color w:val="auto"/>
              </w:rPr>
              <w:t>有</w:t>
            </w:r>
            <w:r>
              <w:rPr>
                <w:color w:val="auto"/>
              </w:rPr>
              <w:t>国徽面粘贴处）</w:t>
            </w:r>
          </w:p>
        </w:tc>
        <w:tc>
          <w:tcPr>
            <w:tcW w:w="4098" w:type="dxa"/>
            <w:vAlign w:val="center"/>
          </w:tcPr>
          <w:p w14:paraId="42F01F9F">
            <w:pPr>
              <w:jc w:val="center"/>
              <w:rPr>
                <w:color w:val="auto"/>
              </w:rPr>
            </w:pPr>
            <w:r>
              <w:rPr>
                <w:color w:val="auto"/>
              </w:rPr>
              <w:t>授权</w:t>
            </w:r>
            <w:r>
              <w:rPr>
                <w:rFonts w:hint="eastAsia"/>
                <w:color w:val="auto"/>
              </w:rPr>
              <w:t>代表</w:t>
            </w:r>
          </w:p>
          <w:p w14:paraId="2CCCDA9F">
            <w:pPr>
              <w:jc w:val="center"/>
              <w:rPr>
                <w:color w:val="auto"/>
              </w:rPr>
            </w:pPr>
            <w:r>
              <w:rPr>
                <w:color w:val="auto"/>
              </w:rPr>
              <w:t>身份证复印件</w:t>
            </w:r>
          </w:p>
          <w:p w14:paraId="4D2626B8">
            <w:pPr>
              <w:jc w:val="center"/>
              <w:rPr>
                <w:color w:val="auto"/>
              </w:rPr>
            </w:pPr>
            <w:r>
              <w:rPr>
                <w:color w:val="auto"/>
              </w:rPr>
              <w:t>（</w:t>
            </w:r>
            <w:r>
              <w:rPr>
                <w:rFonts w:hint="eastAsia"/>
                <w:color w:val="auto"/>
              </w:rPr>
              <w:t>有</w:t>
            </w:r>
            <w:r>
              <w:rPr>
                <w:color w:val="auto"/>
              </w:rPr>
              <w:t>国徽面粘贴处）</w:t>
            </w:r>
          </w:p>
        </w:tc>
      </w:tr>
    </w:tbl>
    <w:p w14:paraId="1B6E7D09">
      <w:pPr>
        <w:spacing w:line="440" w:lineRule="exact"/>
        <w:rPr>
          <w:rFonts w:hint="eastAsia"/>
          <w:color w:val="auto"/>
        </w:rPr>
      </w:pPr>
    </w:p>
    <w:p w14:paraId="22BEE2A6">
      <w:pPr>
        <w:spacing w:line="440" w:lineRule="exact"/>
        <w:ind w:firstLine="566" w:firstLineChars="200"/>
        <w:rPr>
          <w:color w:val="auto"/>
        </w:rPr>
      </w:pPr>
      <w:r>
        <w:rPr>
          <w:rFonts w:hint="eastAsia"/>
          <w:color w:val="auto"/>
        </w:rPr>
        <w:t>供应</w:t>
      </w:r>
      <w:r>
        <w:rPr>
          <w:color w:val="auto"/>
        </w:rPr>
        <w:t>商：</w:t>
      </w:r>
      <w:r>
        <w:rPr>
          <w:rFonts w:hint="eastAsia"/>
          <w:color w:val="auto"/>
        </w:rPr>
        <w:t>名称</w:t>
      </w:r>
      <w:r>
        <w:rPr>
          <w:color w:val="auto"/>
        </w:rPr>
        <w:t>（加盖公章）</w:t>
      </w:r>
      <w:r>
        <w:rPr>
          <w:rFonts w:hint="eastAsia"/>
          <w:color w:val="auto"/>
        </w:rPr>
        <w:t xml:space="preserve">         </w:t>
      </w:r>
      <w:r>
        <w:rPr>
          <w:color w:val="auto"/>
        </w:rPr>
        <w:t>法定代表人：</w:t>
      </w:r>
      <w:r>
        <w:rPr>
          <w:rFonts w:hint="eastAsia"/>
          <w:color w:val="auto"/>
        </w:rPr>
        <w:t>（签字或盖章）</w:t>
      </w:r>
    </w:p>
    <w:p w14:paraId="4351A65D">
      <w:pPr>
        <w:spacing w:line="440" w:lineRule="exact"/>
        <w:ind w:firstLine="6047" w:firstLineChars="2137"/>
        <w:rPr>
          <w:color w:val="auto"/>
        </w:rPr>
      </w:pPr>
      <w:r>
        <w:rPr>
          <w:rFonts w:hint="eastAsia"/>
          <w:color w:val="auto"/>
        </w:rPr>
        <w:t>日期：　年　月　日</w:t>
      </w:r>
    </w:p>
    <w:p w14:paraId="7C6F21F2">
      <w:pPr>
        <w:spacing w:line="240" w:lineRule="auto"/>
        <w:rPr>
          <w:rFonts w:hint="eastAsia" w:ascii="宋体" w:hAnsi="宋体" w:eastAsia="宋体" w:cs="宋体"/>
          <w:color w:val="auto"/>
          <w:sz w:val="21"/>
          <w:szCs w:val="21"/>
        </w:rPr>
      </w:pPr>
    </w:p>
    <w:p w14:paraId="0439A01C">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备注：1、项目不分标段的，第___标段空白处填写“/”。</w:t>
      </w:r>
    </w:p>
    <w:p w14:paraId="6C5503AA">
      <w:pPr>
        <w:spacing w:line="240" w:lineRule="auto"/>
        <w:rPr>
          <w:rFonts w:ascii="宋体" w:hAnsi="宋体" w:eastAsia="宋体" w:cs="宋体"/>
          <w:color w:val="auto"/>
          <w:sz w:val="21"/>
          <w:szCs w:val="21"/>
        </w:rPr>
      </w:pPr>
      <w:r>
        <w:rPr>
          <w:rFonts w:hint="eastAsia" w:ascii="宋体" w:hAnsi="宋体" w:eastAsia="宋体" w:cs="宋体"/>
          <w:color w:val="auto"/>
          <w:sz w:val="21"/>
          <w:szCs w:val="21"/>
        </w:rPr>
        <w:t xml:space="preserve">      2、法定代表人亲自参加投标的，无需提供该委托授权书，但须提供法定代表人本人身份证（正反面）复印件。</w:t>
      </w:r>
    </w:p>
    <w:p w14:paraId="23DD6A48">
      <w:pPr>
        <w:spacing w:line="240" w:lineRule="auto"/>
        <w:ind w:firstLine="639" w:firstLineChars="300"/>
        <w:rPr>
          <w:rFonts w:hint="eastAsia" w:ascii="宋体" w:hAnsi="宋体" w:eastAsia="宋体" w:cs="宋体"/>
          <w:color w:val="auto"/>
          <w:sz w:val="21"/>
          <w:szCs w:val="21"/>
        </w:rPr>
      </w:pPr>
      <w:r>
        <w:rPr>
          <w:rFonts w:hint="eastAsia" w:ascii="宋体" w:hAnsi="宋体" w:eastAsia="宋体" w:cs="宋体"/>
          <w:color w:val="auto"/>
          <w:sz w:val="21"/>
          <w:szCs w:val="21"/>
        </w:rPr>
        <w:t>3、法定代表人签字或盖章可采用纸质签字或盖章后，上传至电子响应文件，也可使用法定代表人CA锁在电子响应文件制作软件中签章。</w:t>
      </w:r>
    </w:p>
    <w:p w14:paraId="58979C83">
      <w:pPr>
        <w:pStyle w:val="9"/>
        <w:rPr>
          <w:rFonts w:hint="eastAsia" w:ascii="宋体" w:hAnsi="宋体" w:eastAsia="宋体" w:cs="宋体"/>
          <w:color w:val="auto"/>
          <w:sz w:val="21"/>
          <w:szCs w:val="21"/>
        </w:rPr>
      </w:pPr>
    </w:p>
    <w:p w14:paraId="0D2D0F92">
      <w:pPr>
        <w:pStyle w:val="49"/>
        <w:spacing w:line="500" w:lineRule="exact"/>
        <w:rPr>
          <w:rFonts w:hint="eastAsia"/>
          <w:color w:val="auto"/>
          <w:sz w:val="30"/>
          <w:szCs w:val="30"/>
          <w:lang w:val="en-US" w:eastAsia="zh-CN"/>
        </w:rPr>
      </w:pPr>
      <w:r>
        <w:rPr>
          <w:rFonts w:hint="eastAsia"/>
          <w:color w:val="auto"/>
          <w:sz w:val="30"/>
          <w:szCs w:val="30"/>
          <w:lang w:val="en-US" w:eastAsia="zh-CN"/>
        </w:rPr>
        <w:t>九</w:t>
      </w:r>
      <w:r>
        <w:rPr>
          <w:rFonts w:hint="eastAsia"/>
          <w:color w:val="auto"/>
          <w:sz w:val="30"/>
          <w:szCs w:val="30"/>
        </w:rPr>
        <w:t>、</w:t>
      </w:r>
      <w:r>
        <w:rPr>
          <w:rFonts w:hint="eastAsia"/>
          <w:color w:val="auto"/>
          <w:sz w:val="30"/>
          <w:szCs w:val="30"/>
          <w:lang w:val="en-US" w:eastAsia="zh-CN"/>
        </w:rPr>
        <w:t>落实政府采购政策要求</w:t>
      </w:r>
    </w:p>
    <w:p w14:paraId="7CCF0CA8">
      <w:pPr>
        <w:pStyle w:val="49"/>
        <w:spacing w:line="500" w:lineRule="exact"/>
        <w:ind w:firstLine="566" w:firstLineChars="200"/>
        <w:rPr>
          <w:rFonts w:hint="eastAsia"/>
          <w:b w:val="0"/>
          <w:bCs w:val="0"/>
          <w:color w:val="auto"/>
          <w:sz w:val="28"/>
          <w:szCs w:val="28"/>
        </w:rPr>
      </w:pPr>
      <w:r>
        <w:rPr>
          <w:rFonts w:hint="eastAsia"/>
          <w:b w:val="0"/>
          <w:bCs w:val="0"/>
          <w:color w:val="auto"/>
          <w:sz w:val="28"/>
          <w:szCs w:val="28"/>
        </w:rPr>
        <w:t>供应商应为</w:t>
      </w:r>
      <w:r>
        <w:rPr>
          <w:rFonts w:hint="eastAsia"/>
          <w:b w:val="0"/>
          <w:bCs w:val="0"/>
          <w:color w:val="auto"/>
          <w:sz w:val="28"/>
          <w:szCs w:val="28"/>
          <w:lang w:val="en-US" w:eastAsia="zh-CN"/>
        </w:rPr>
        <w:t>中型、</w:t>
      </w:r>
      <w:r>
        <w:rPr>
          <w:rFonts w:hint="eastAsia"/>
          <w:b w:val="0"/>
          <w:bCs w:val="0"/>
          <w:color w:val="auto"/>
          <w:sz w:val="28"/>
          <w:szCs w:val="28"/>
        </w:rPr>
        <w:t>小型、微型企业或监狱企业或残疾人福利性单位。供应商为</w:t>
      </w:r>
      <w:r>
        <w:rPr>
          <w:rFonts w:hint="eastAsia"/>
          <w:b w:val="0"/>
          <w:bCs w:val="0"/>
          <w:color w:val="auto"/>
          <w:sz w:val="28"/>
          <w:szCs w:val="28"/>
          <w:lang w:val="en-US" w:eastAsia="zh-CN"/>
        </w:rPr>
        <w:t>中型、</w:t>
      </w:r>
      <w:r>
        <w:rPr>
          <w:rFonts w:hint="eastAsia"/>
          <w:b w:val="0"/>
          <w:bCs w:val="0"/>
          <w:color w:val="auto"/>
          <w:sz w:val="28"/>
          <w:szCs w:val="28"/>
        </w:rPr>
        <w:t>小型、微型企业的，提供《中小企业声明函》，且</w:t>
      </w:r>
      <w:r>
        <w:rPr>
          <w:rFonts w:hint="eastAsia"/>
          <w:b w:val="0"/>
          <w:bCs w:val="0"/>
          <w:color w:val="auto"/>
          <w:sz w:val="28"/>
          <w:szCs w:val="28"/>
          <w:lang w:val="en-US" w:eastAsia="zh-CN"/>
        </w:rPr>
        <w:t>中小</w:t>
      </w:r>
      <w:r>
        <w:rPr>
          <w:rFonts w:hint="eastAsia"/>
          <w:b w:val="0"/>
          <w:bCs w:val="0"/>
          <w:color w:val="auto"/>
          <w:sz w:val="28"/>
          <w:szCs w:val="28"/>
        </w:rPr>
        <w:t>企业的划分标准所属行业为</w:t>
      </w:r>
      <w:r>
        <w:rPr>
          <w:rFonts w:hint="eastAsia"/>
          <w:b w:val="0"/>
          <w:bCs w:val="0"/>
          <w:color w:val="auto"/>
          <w:sz w:val="28"/>
          <w:szCs w:val="28"/>
          <w:lang w:val="en-US" w:eastAsia="zh-CN"/>
        </w:rPr>
        <w:t>物业管理</w:t>
      </w:r>
      <w:r>
        <w:rPr>
          <w:rFonts w:hint="eastAsia"/>
          <w:b w:val="0"/>
          <w:bCs w:val="0"/>
          <w:color w:val="auto"/>
          <w:sz w:val="28"/>
          <w:szCs w:val="28"/>
        </w:rPr>
        <w:t>；供应商为监狱企业的，应提供监狱企业的证明文件；供应商为残疾人福利性单位的，应提供《残疾人福利性单位声明函》。</w:t>
      </w:r>
    </w:p>
    <w:p w14:paraId="76FA4BF1">
      <w:pPr>
        <w:spacing w:line="500" w:lineRule="exact"/>
        <w:ind w:firstLine="566" w:firstLineChars="200"/>
        <w:rPr>
          <w:rFonts w:hint="eastAsia" w:cs="华文仿宋"/>
          <w:b/>
          <w:bCs/>
        </w:rPr>
      </w:pPr>
      <w:r>
        <w:rPr>
          <w:rFonts w:hint="eastAsia" w:cs="华文仿宋"/>
          <w:b/>
          <w:bCs/>
        </w:rPr>
        <w:t>特别提醒：</w:t>
      </w:r>
      <w:r>
        <w:rPr>
          <w:rFonts w:hint="eastAsia" w:cs="华文仿宋"/>
          <w:b/>
          <w:bCs/>
          <w:lang w:val="en-US" w:eastAsia="zh-CN"/>
        </w:rPr>
        <w:t>成交供应商的</w:t>
      </w:r>
      <w:r>
        <w:rPr>
          <w:rFonts w:hint="eastAsia" w:cs="华文仿宋"/>
          <w:b/>
          <w:bCs/>
          <w:lang w:eastAsia="zh-CN"/>
        </w:rPr>
        <w:t>《</w:t>
      </w:r>
      <w:r>
        <w:rPr>
          <w:rFonts w:hint="eastAsia" w:cs="华文仿宋"/>
          <w:b/>
          <w:bCs/>
          <w:lang w:val="en-US" w:eastAsia="zh-CN"/>
        </w:rPr>
        <w:t>中小企业声明函</w:t>
      </w:r>
      <w:r>
        <w:rPr>
          <w:rFonts w:hint="eastAsia" w:cs="华文仿宋"/>
          <w:b/>
          <w:bCs/>
          <w:lang w:eastAsia="zh-CN"/>
        </w:rPr>
        <w:t>》、《</w:t>
      </w:r>
      <w:r>
        <w:rPr>
          <w:rFonts w:hint="eastAsia" w:cs="华文仿宋"/>
          <w:b/>
          <w:bCs/>
          <w:lang w:val="en-US" w:eastAsia="zh-CN"/>
        </w:rPr>
        <w:t>残疾人福利性单位声明函》</w:t>
      </w:r>
      <w:r>
        <w:rPr>
          <w:rFonts w:hint="eastAsia" w:cs="华文仿宋"/>
          <w:b/>
          <w:bCs/>
        </w:rPr>
        <w:t>或</w:t>
      </w:r>
      <w:r>
        <w:rPr>
          <w:rFonts w:hint="eastAsia" w:cs="华文仿宋"/>
          <w:b/>
          <w:bCs/>
          <w:lang w:val="en-US" w:eastAsia="zh-CN"/>
        </w:rPr>
        <w:t>监狱企业</w:t>
      </w:r>
      <w:r>
        <w:rPr>
          <w:rFonts w:hint="eastAsia" w:cs="华文仿宋"/>
          <w:b/>
          <w:bCs/>
        </w:rPr>
        <w:t>证明文件将随</w:t>
      </w:r>
      <w:r>
        <w:rPr>
          <w:rFonts w:hint="eastAsia" w:cs="华文仿宋"/>
          <w:b/>
          <w:bCs/>
          <w:lang w:val="en-US" w:eastAsia="zh-CN"/>
        </w:rPr>
        <w:t>成交结果</w:t>
      </w:r>
      <w:r>
        <w:rPr>
          <w:rFonts w:hint="eastAsia" w:cs="华文仿宋"/>
          <w:b/>
          <w:bCs/>
        </w:rPr>
        <w:t>公告一同公布，接受社会监督。</w:t>
      </w:r>
    </w:p>
    <w:p w14:paraId="29FF4194">
      <w:pPr>
        <w:pStyle w:val="49"/>
        <w:spacing w:line="500" w:lineRule="exact"/>
        <w:ind w:firstLine="566" w:firstLineChars="200"/>
        <w:rPr>
          <w:rFonts w:hint="eastAsia"/>
          <w:b w:val="0"/>
          <w:bCs w:val="0"/>
          <w:color w:val="auto"/>
          <w:sz w:val="28"/>
          <w:szCs w:val="28"/>
          <w:lang w:eastAsia="zh-CN"/>
        </w:rPr>
      </w:pPr>
    </w:p>
    <w:p w14:paraId="36B31749">
      <w:pPr>
        <w:pStyle w:val="49"/>
        <w:spacing w:line="500" w:lineRule="exact"/>
        <w:ind w:firstLine="566" w:firstLineChars="200"/>
        <w:rPr>
          <w:rFonts w:hint="default"/>
          <w:b w:val="0"/>
          <w:bCs w:val="0"/>
          <w:color w:val="auto"/>
          <w:sz w:val="28"/>
          <w:szCs w:val="28"/>
        </w:rPr>
      </w:pPr>
      <w:r>
        <w:rPr>
          <w:rFonts w:hint="eastAsia"/>
          <w:b w:val="0"/>
          <w:bCs w:val="0"/>
          <w:color w:val="auto"/>
          <w:sz w:val="28"/>
          <w:szCs w:val="28"/>
          <w:lang w:eastAsia="zh-CN"/>
        </w:rPr>
        <w:t>（</w:t>
      </w:r>
      <w:r>
        <w:rPr>
          <w:rFonts w:hint="eastAsia"/>
          <w:b w:val="0"/>
          <w:bCs w:val="0"/>
          <w:color w:val="auto"/>
          <w:sz w:val="28"/>
          <w:szCs w:val="28"/>
          <w:lang w:val="en-US" w:eastAsia="zh-CN"/>
        </w:rPr>
        <w:t>一）关于中小企业判定</w:t>
      </w:r>
    </w:p>
    <w:p w14:paraId="596702E3">
      <w:pPr>
        <w:spacing w:line="500" w:lineRule="exact"/>
        <w:ind w:firstLine="566" w:firstLineChars="200"/>
        <w:rPr>
          <w:highlight w:val="none"/>
        </w:rPr>
      </w:pPr>
      <w:r>
        <w:rPr>
          <w:rFonts w:hint="eastAsia"/>
          <w:lang w:val="en-US" w:eastAsia="zh-CN"/>
        </w:rPr>
        <w:t>本项目</w:t>
      </w:r>
      <w:r>
        <w:rPr>
          <w:rFonts w:hint="eastAsia"/>
        </w:rPr>
        <w:t>采购标的对应的中小企业划分标准所属行业</w:t>
      </w:r>
      <w:r>
        <w:rPr>
          <w:rFonts w:hint="eastAsia"/>
          <w:lang w:val="en-US" w:eastAsia="zh-CN"/>
        </w:rPr>
        <w:t>为物业管理</w:t>
      </w:r>
      <w:r>
        <w:rPr>
          <w:rFonts w:hint="eastAsia"/>
          <w:highlight w:val="none"/>
          <w:lang w:val="en-US" w:eastAsia="zh-CN"/>
        </w:rPr>
        <w:t>。</w:t>
      </w:r>
    </w:p>
    <w:p w14:paraId="3543BC96">
      <w:pPr>
        <w:spacing w:line="500" w:lineRule="exact"/>
        <w:ind w:firstLine="566" w:firstLineChars="200"/>
        <w:rPr>
          <w:rFonts w:hint="eastAsia" w:cs="华文仿宋"/>
          <w:lang w:val="en-US" w:eastAsia="zh-CN"/>
        </w:rPr>
      </w:pPr>
      <w:r>
        <w:rPr>
          <w:rFonts w:hint="eastAsia"/>
          <w:lang w:val="en-US" w:eastAsia="zh-CN"/>
        </w:rPr>
        <w:t>各投标供应商可</w:t>
      </w:r>
      <w:r>
        <w:rPr>
          <w:rFonts w:hint="eastAsia"/>
        </w:rPr>
        <w:t>根据企业从业人员、营业收入、资产总额等指标，按照采购文件约定的采购标的对应的中小企业划分标准所属行业和《中小企业划型标准规定》（工信部联企业〔2011〕300号）进行自测，判断属于中型、小型还是微型企业。也可登录工业和信息化部的中小企业规模类型自测小程序（http://202.106.120.146/baosong/appweb/orgScale.html）进行测算。</w:t>
      </w:r>
    </w:p>
    <w:p w14:paraId="28DCACAD">
      <w:pPr>
        <w:spacing w:before="190" w:beforeLines="50" w:line="500" w:lineRule="exact"/>
        <w:ind w:firstLine="566" w:firstLineChars="200"/>
        <w:rPr>
          <w:rFonts w:hint="eastAsia"/>
          <w:b/>
          <w:color w:val="auto"/>
        </w:rPr>
      </w:pPr>
    </w:p>
    <w:p w14:paraId="406EA620">
      <w:pPr>
        <w:keepNext w:val="0"/>
        <w:keepLines w:val="0"/>
        <w:pageBreakBefore/>
        <w:widowControl w:val="0"/>
        <w:numPr>
          <w:ilvl w:val="-1"/>
          <w:numId w:val="0"/>
        </w:numPr>
        <w:suppressLineNumbers w:val="0"/>
        <w:spacing w:before="192" w:beforeLines="50" w:after="192" w:afterLines="50" w:line="500" w:lineRule="exact"/>
        <w:ind w:firstLine="0" w:firstLineChars="0"/>
        <w:jc w:val="center"/>
        <w:rPr>
          <w:rFonts w:hint="eastAsia" w:ascii="华文仿宋" w:hAnsi="华文仿宋" w:cs="华文仿宋"/>
          <w:b/>
          <w:color w:val="000000"/>
          <w:kern w:val="0"/>
          <w:lang w:bidi="ar"/>
        </w:rPr>
      </w:pPr>
      <w:r>
        <w:rPr>
          <w:rFonts w:hint="eastAsia" w:ascii="华文仿宋" w:hAnsi="华文仿宋" w:eastAsia="华文仿宋" w:cs="华文仿宋"/>
          <w:b/>
          <w:color w:val="000000"/>
          <w:kern w:val="0"/>
          <w:sz w:val="28"/>
          <w:szCs w:val="28"/>
          <w:lang w:val="en-US" w:eastAsia="zh-CN" w:bidi="ar"/>
        </w:rPr>
        <w:t>中小企业声明函</w:t>
      </w:r>
    </w:p>
    <w:p w14:paraId="23DA8E1E">
      <w:pPr>
        <w:keepNext w:val="0"/>
        <w:keepLines w:val="0"/>
        <w:widowControl/>
        <w:suppressLineNumbers w:val="0"/>
        <w:spacing w:line="500" w:lineRule="exact"/>
        <w:ind w:firstLine="566" w:firstLineChars="200"/>
        <w:jc w:val="left"/>
        <w:rPr>
          <w:rFonts w:hint="eastAsia" w:ascii="华文仿宋" w:hAnsi="华文仿宋" w:cs="华文仿宋"/>
        </w:rPr>
      </w:pPr>
      <w:r>
        <w:rPr>
          <w:rFonts w:hint="eastAsia" w:ascii="华文仿宋" w:hAnsi="华文仿宋" w:eastAsia="华文仿宋" w:cs="华文仿宋"/>
          <w:color w:val="000000"/>
          <w:kern w:val="0"/>
          <w:sz w:val="28"/>
          <w:szCs w:val="28"/>
          <w:lang w:val="en-US" w:eastAsia="zh-CN" w:bidi="ar"/>
        </w:rPr>
        <w:t>本公司郑重声明，根据《政府采购促进中小企业发展管理办法》（财库﹝2020﹞46 号）的规定，本公司参加</w:t>
      </w:r>
      <w:r>
        <w:rPr>
          <w:rFonts w:hint="eastAsia" w:ascii="华文仿宋" w:hAnsi="华文仿宋" w:cs="华文仿宋"/>
          <w:i w:val="0"/>
          <w:iCs w:val="0"/>
          <w:color w:val="000000"/>
          <w:kern w:val="0"/>
          <w:sz w:val="28"/>
          <w:szCs w:val="28"/>
          <w:u w:val="single"/>
          <w:lang w:val="en-US" w:eastAsia="zh-CN" w:bidi="ar"/>
        </w:rPr>
        <w:t>陕西省省级单位政府采购中心</w:t>
      </w:r>
      <w:r>
        <w:rPr>
          <w:rFonts w:hint="eastAsia" w:ascii="华文仿宋" w:hAnsi="华文仿宋" w:eastAsia="华文仿宋" w:cs="华文仿宋"/>
          <w:color w:val="000000"/>
          <w:kern w:val="0"/>
          <w:sz w:val="28"/>
          <w:szCs w:val="28"/>
          <w:lang w:val="en-US" w:eastAsia="zh-CN" w:bidi="ar"/>
        </w:rPr>
        <w:t>的</w:t>
      </w:r>
      <w:r>
        <w:rPr>
          <w:rFonts w:hint="eastAsia" w:ascii="华文仿宋" w:hAnsi="华文仿宋" w:eastAsia="华文仿宋" w:cs="华文仿宋"/>
          <w:i w:val="0"/>
          <w:iCs/>
          <w:color w:val="000000"/>
          <w:kern w:val="0"/>
          <w:sz w:val="28"/>
          <w:szCs w:val="28"/>
          <w:u w:val="single"/>
          <w:lang w:val="en-US" w:eastAsia="zh-CN" w:bidi="ar"/>
        </w:rPr>
        <w:t>（项目名称</w:t>
      </w:r>
      <w:r>
        <w:rPr>
          <w:rFonts w:hint="eastAsia" w:ascii="华文仿宋" w:hAnsi="华文仿宋" w:cs="华文仿宋"/>
          <w:i w:val="0"/>
          <w:iCs/>
          <w:color w:val="000000"/>
          <w:kern w:val="0"/>
          <w:sz w:val="28"/>
          <w:szCs w:val="28"/>
          <w:u w:val="single"/>
          <w:lang w:val="en-US" w:eastAsia="zh-CN" w:bidi="ar"/>
        </w:rPr>
        <w:t xml:space="preserve">          </w:t>
      </w:r>
      <w:r>
        <w:rPr>
          <w:rFonts w:hint="eastAsia" w:ascii="华文仿宋" w:hAnsi="华文仿宋" w:eastAsia="华文仿宋" w:cs="华文仿宋"/>
          <w:i w:val="0"/>
          <w:iCs/>
          <w:color w:val="000000"/>
          <w:kern w:val="0"/>
          <w:sz w:val="28"/>
          <w:szCs w:val="28"/>
          <w:u w:val="single"/>
          <w:lang w:val="en-US" w:eastAsia="zh-CN" w:bidi="ar"/>
        </w:rPr>
        <w:t>）</w:t>
      </w:r>
      <w:r>
        <w:rPr>
          <w:rFonts w:hint="eastAsia" w:ascii="华文仿宋" w:hAnsi="华文仿宋" w:eastAsia="华文仿宋" w:cs="华文仿宋"/>
          <w:color w:val="000000"/>
          <w:kern w:val="0"/>
          <w:sz w:val="28"/>
          <w:szCs w:val="28"/>
          <w:lang w:val="en-US" w:eastAsia="zh-CN" w:bidi="ar"/>
        </w:rPr>
        <w:t>采购活动，服务全部由符合政策要求的中小企业承接。相关企业的具体情况如下：</w:t>
      </w:r>
    </w:p>
    <w:p w14:paraId="6C11509A">
      <w:pPr>
        <w:keepNext w:val="0"/>
        <w:keepLines w:val="0"/>
        <w:widowControl/>
        <w:suppressLineNumbers w:val="0"/>
        <w:spacing w:line="500" w:lineRule="exact"/>
        <w:ind w:firstLine="566" w:firstLineChars="200"/>
        <w:jc w:val="left"/>
        <w:rPr>
          <w:rFonts w:hint="eastAsia" w:ascii="华文仿宋" w:hAnsi="华文仿宋" w:cs="华文仿宋"/>
          <w:color w:val="000000"/>
          <w:kern w:val="0"/>
          <w:lang w:bidi="ar"/>
        </w:rPr>
      </w:pPr>
      <w:r>
        <w:rPr>
          <w:rFonts w:hint="eastAsia" w:ascii="华文仿宋" w:hAnsi="华文仿宋" w:eastAsia="华文仿宋" w:cs="华文仿宋"/>
          <w:color w:val="000000"/>
          <w:kern w:val="0"/>
          <w:sz w:val="28"/>
          <w:szCs w:val="28"/>
          <w:lang w:val="en-US" w:eastAsia="zh-CN" w:bidi="ar"/>
        </w:rPr>
        <w:t xml:space="preserve"> </w:t>
      </w:r>
      <w:r>
        <w:rPr>
          <w:rFonts w:hint="eastAsia" w:ascii="华文仿宋" w:hAnsi="华文仿宋" w:eastAsia="华文仿宋" w:cs="华文仿宋"/>
          <w:i w:val="0"/>
          <w:color w:val="000000"/>
          <w:kern w:val="0"/>
          <w:sz w:val="28"/>
          <w:szCs w:val="28"/>
          <w:u w:val="single"/>
          <w:lang w:val="en-US" w:eastAsia="zh-CN" w:bidi="ar"/>
        </w:rPr>
        <w:t>（</w:t>
      </w:r>
      <w:r>
        <w:rPr>
          <w:rFonts w:hint="eastAsia" w:ascii="华文仿宋" w:hAnsi="华文仿宋" w:cs="华文仿宋"/>
          <w:i w:val="0"/>
          <w:color w:val="000000"/>
          <w:kern w:val="0"/>
          <w:sz w:val="28"/>
          <w:szCs w:val="28"/>
          <w:u w:val="single"/>
          <w:lang w:val="en-US" w:eastAsia="zh-CN" w:bidi="ar"/>
        </w:rPr>
        <w:t>项目</w:t>
      </w:r>
      <w:r>
        <w:rPr>
          <w:rFonts w:hint="eastAsia" w:ascii="华文仿宋" w:hAnsi="华文仿宋" w:eastAsia="华文仿宋" w:cs="华文仿宋"/>
          <w:i w:val="0"/>
          <w:color w:val="000000"/>
          <w:kern w:val="0"/>
          <w:sz w:val="28"/>
          <w:szCs w:val="28"/>
          <w:u w:val="single"/>
          <w:lang w:val="en-US" w:eastAsia="zh-CN" w:bidi="ar"/>
        </w:rPr>
        <w:t xml:space="preserve">名称） </w:t>
      </w:r>
      <w:r>
        <w:rPr>
          <w:rFonts w:hint="eastAsia" w:ascii="华文仿宋" w:hAnsi="华文仿宋" w:eastAsia="华文仿宋" w:cs="华文仿宋"/>
          <w:color w:val="000000"/>
          <w:kern w:val="0"/>
          <w:sz w:val="28"/>
          <w:szCs w:val="28"/>
          <w:lang w:val="en-US" w:eastAsia="zh-CN" w:bidi="ar"/>
        </w:rPr>
        <w:t>，属于</w:t>
      </w:r>
      <w:r>
        <w:rPr>
          <w:rFonts w:hint="eastAsia" w:ascii="华文仿宋" w:hAnsi="华文仿宋" w:eastAsia="华文仿宋" w:cs="华文仿宋"/>
          <w:i w:val="0"/>
          <w:color w:val="000000"/>
          <w:kern w:val="0"/>
          <w:sz w:val="28"/>
          <w:szCs w:val="28"/>
          <w:u w:val="single"/>
          <w:lang w:val="en-US" w:eastAsia="zh-CN" w:bidi="ar"/>
        </w:rPr>
        <w:t>（采购文件中明确的所属行业）</w:t>
      </w:r>
      <w:r>
        <w:rPr>
          <w:rFonts w:hint="eastAsia" w:ascii="华文仿宋" w:hAnsi="华文仿宋" w:eastAsia="华文仿宋" w:cs="华文仿宋"/>
          <w:color w:val="000000"/>
          <w:kern w:val="0"/>
          <w:sz w:val="28"/>
          <w:szCs w:val="28"/>
          <w:lang w:val="en-US" w:eastAsia="zh-CN" w:bidi="ar"/>
        </w:rPr>
        <w:t>； 承接企业为</w:t>
      </w:r>
      <w:r>
        <w:rPr>
          <w:rFonts w:hint="eastAsia" w:ascii="华文仿宋" w:hAnsi="华文仿宋" w:eastAsia="华文仿宋" w:cs="华文仿宋"/>
          <w:i w:val="0"/>
          <w:color w:val="000000"/>
          <w:kern w:val="0"/>
          <w:sz w:val="28"/>
          <w:szCs w:val="28"/>
          <w:u w:val="single"/>
          <w:lang w:val="en-US" w:eastAsia="zh-CN" w:bidi="ar"/>
        </w:rPr>
        <w:t>（企业名称）</w:t>
      </w:r>
      <w:r>
        <w:rPr>
          <w:rFonts w:hint="eastAsia" w:ascii="华文仿宋" w:hAnsi="华文仿宋" w:eastAsia="华文仿宋" w:cs="华文仿宋"/>
          <w:color w:val="000000"/>
          <w:kern w:val="0"/>
          <w:sz w:val="28"/>
          <w:szCs w:val="28"/>
          <w:lang w:val="en-US" w:eastAsia="zh-CN" w:bidi="ar"/>
        </w:rPr>
        <w:t>，从业人员</w:t>
      </w:r>
      <w:r>
        <w:rPr>
          <w:rFonts w:hint="eastAsia" w:ascii="华文仿宋" w:hAnsi="华文仿宋" w:cs="华文仿宋"/>
          <w:color w:val="000000"/>
          <w:kern w:val="0"/>
          <w:sz w:val="28"/>
          <w:szCs w:val="28"/>
          <w:u w:val="single"/>
          <w:lang w:val="en-US" w:eastAsia="zh-CN" w:bidi="ar"/>
        </w:rPr>
        <w:t xml:space="preserve">       </w:t>
      </w:r>
      <w:r>
        <w:rPr>
          <w:rFonts w:hint="eastAsia" w:ascii="华文仿宋" w:hAnsi="华文仿宋" w:eastAsia="华文仿宋" w:cs="华文仿宋"/>
          <w:color w:val="000000"/>
          <w:kern w:val="0"/>
          <w:sz w:val="28"/>
          <w:szCs w:val="28"/>
          <w:lang w:val="en-US" w:eastAsia="zh-CN" w:bidi="ar"/>
        </w:rPr>
        <w:t>人，营业收入为</w:t>
      </w:r>
      <w:r>
        <w:rPr>
          <w:rFonts w:hint="eastAsia" w:ascii="华文仿宋" w:hAnsi="华文仿宋" w:eastAsia="华文仿宋" w:cs="华文仿宋"/>
          <w:color w:val="000000"/>
          <w:kern w:val="0"/>
          <w:sz w:val="28"/>
          <w:szCs w:val="28"/>
          <w:u w:val="single"/>
          <w:lang w:val="en-US" w:eastAsia="zh-CN" w:bidi="ar"/>
        </w:rPr>
        <w:t xml:space="preserve"> </w:t>
      </w:r>
      <w:r>
        <w:rPr>
          <w:rFonts w:hint="eastAsia" w:ascii="华文仿宋" w:hAnsi="华文仿宋" w:cs="华文仿宋"/>
          <w:color w:val="000000"/>
          <w:kern w:val="0"/>
          <w:sz w:val="28"/>
          <w:szCs w:val="28"/>
          <w:u w:val="single"/>
          <w:lang w:val="en-US" w:eastAsia="zh-CN" w:bidi="ar"/>
        </w:rPr>
        <w:t xml:space="preserve">   </w:t>
      </w:r>
      <w:r>
        <w:rPr>
          <w:rFonts w:hint="eastAsia" w:ascii="华文仿宋" w:hAnsi="华文仿宋" w:eastAsia="华文仿宋" w:cs="华文仿宋"/>
          <w:color w:val="000000"/>
          <w:kern w:val="0"/>
          <w:sz w:val="28"/>
          <w:szCs w:val="28"/>
          <w:lang w:val="en-US" w:eastAsia="zh-CN" w:bidi="ar"/>
        </w:rPr>
        <w:t>万元，资产总额为</w:t>
      </w:r>
      <w:r>
        <w:rPr>
          <w:rFonts w:hint="eastAsia" w:ascii="华文仿宋" w:hAnsi="华文仿宋" w:eastAsia="华文仿宋" w:cs="华文仿宋"/>
          <w:color w:val="000000"/>
          <w:kern w:val="0"/>
          <w:sz w:val="28"/>
          <w:szCs w:val="28"/>
          <w:u w:val="single"/>
          <w:lang w:val="en-US" w:eastAsia="zh-CN" w:bidi="ar"/>
        </w:rPr>
        <w:t xml:space="preserve"> </w:t>
      </w:r>
      <w:r>
        <w:rPr>
          <w:rFonts w:hint="eastAsia" w:ascii="华文仿宋" w:hAnsi="华文仿宋" w:cs="华文仿宋"/>
          <w:color w:val="000000"/>
          <w:kern w:val="0"/>
          <w:sz w:val="28"/>
          <w:szCs w:val="28"/>
          <w:u w:val="single"/>
          <w:lang w:val="en-US" w:eastAsia="zh-CN" w:bidi="ar"/>
        </w:rPr>
        <w:t xml:space="preserve">     </w:t>
      </w:r>
      <w:r>
        <w:rPr>
          <w:rFonts w:hint="eastAsia" w:ascii="华文仿宋" w:hAnsi="华文仿宋" w:eastAsia="华文仿宋" w:cs="华文仿宋"/>
          <w:color w:val="000000"/>
          <w:kern w:val="0"/>
          <w:sz w:val="28"/>
          <w:szCs w:val="28"/>
          <w:lang w:val="en-US" w:eastAsia="zh-CN" w:bidi="ar"/>
        </w:rPr>
        <w:t>万元，</w:t>
      </w:r>
      <w:r>
        <w:rPr>
          <w:rFonts w:hint="eastAsia" w:ascii="华文仿宋" w:hAnsi="华文仿宋" w:eastAsia="华文仿宋" w:cs="华文仿宋"/>
          <w:color w:val="000000"/>
          <w:kern w:val="0"/>
          <w:sz w:val="28"/>
          <w:szCs w:val="28"/>
          <w:u w:val="none"/>
          <w:lang w:val="en-US" w:eastAsia="zh-CN" w:bidi="ar"/>
        </w:rPr>
        <w:t>属于</w:t>
      </w:r>
      <w:r>
        <w:rPr>
          <w:rFonts w:hint="eastAsia" w:ascii="华文仿宋" w:hAnsi="华文仿宋" w:cs="华文仿宋"/>
          <w:color w:val="000000"/>
          <w:kern w:val="0"/>
          <w:sz w:val="28"/>
          <w:szCs w:val="28"/>
          <w:u w:val="single"/>
          <w:lang w:val="en-US" w:eastAsia="zh-CN" w:bidi="ar"/>
        </w:rPr>
        <w:t xml:space="preserve">        </w:t>
      </w:r>
      <w:r>
        <w:rPr>
          <w:rFonts w:hint="eastAsia" w:ascii="华文仿宋" w:hAnsi="华文仿宋" w:eastAsia="华文仿宋" w:cs="华文仿宋"/>
          <w:i w:val="0"/>
          <w:color w:val="000000"/>
          <w:kern w:val="0"/>
          <w:sz w:val="28"/>
          <w:szCs w:val="28"/>
          <w:u w:val="none"/>
          <w:lang w:val="en-US" w:eastAsia="zh-CN" w:bidi="ar"/>
        </w:rPr>
        <w:t>（中型企业、 小型企业、微型企业）</w:t>
      </w:r>
      <w:r>
        <w:rPr>
          <w:rFonts w:hint="eastAsia" w:ascii="华文仿宋" w:hAnsi="华文仿宋" w:eastAsia="华文仿宋" w:cs="华文仿宋"/>
          <w:color w:val="000000"/>
          <w:kern w:val="0"/>
          <w:sz w:val="28"/>
          <w:szCs w:val="28"/>
          <w:lang w:val="en-US" w:eastAsia="zh-CN" w:bidi="ar"/>
        </w:rPr>
        <w:t xml:space="preserve">； </w:t>
      </w:r>
    </w:p>
    <w:p w14:paraId="625F9242">
      <w:pPr>
        <w:keepNext w:val="0"/>
        <w:keepLines w:val="0"/>
        <w:widowControl/>
        <w:suppressLineNumbers w:val="0"/>
        <w:spacing w:line="500" w:lineRule="exact"/>
        <w:ind w:firstLine="566" w:firstLineChars="200"/>
        <w:jc w:val="lef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 xml:space="preserve">以上企业，不属于大企业的分支机构，不存在控股股东为大企业的情形，也不存在与大企业的负责人为同一人的情形。本企业对上述声明内容的真实性负责。如有虚假，将依法承担相应责任。 </w:t>
      </w:r>
    </w:p>
    <w:p w14:paraId="4B86C5AB">
      <w:pPr>
        <w:pStyle w:val="2"/>
        <w:rPr>
          <w:rFonts w:hint="eastAsia" w:ascii="华文仿宋" w:hAnsi="华文仿宋" w:eastAsia="华文仿宋" w:cs="华文仿宋"/>
          <w:color w:val="000000"/>
          <w:kern w:val="0"/>
          <w:sz w:val="28"/>
          <w:szCs w:val="28"/>
          <w:lang w:val="en-US" w:eastAsia="zh-CN" w:bidi="ar"/>
        </w:rPr>
      </w:pPr>
    </w:p>
    <w:p w14:paraId="0B0FAC98">
      <w:pPr>
        <w:pStyle w:val="2"/>
        <w:rPr>
          <w:rFonts w:hint="eastAsia" w:ascii="华文仿宋" w:hAnsi="华文仿宋" w:eastAsia="华文仿宋" w:cs="华文仿宋"/>
          <w:color w:val="000000"/>
          <w:kern w:val="0"/>
          <w:sz w:val="28"/>
          <w:szCs w:val="28"/>
          <w:lang w:val="en-US" w:eastAsia="zh-CN" w:bidi="ar"/>
        </w:rPr>
      </w:pPr>
    </w:p>
    <w:p w14:paraId="13BBB18F">
      <w:pPr>
        <w:pStyle w:val="9"/>
        <w:rPr>
          <w:rFonts w:hint="eastAsia"/>
        </w:rPr>
      </w:pPr>
    </w:p>
    <w:p w14:paraId="08D38779">
      <w:pPr>
        <w:spacing w:line="500" w:lineRule="exact"/>
        <w:ind w:firstLine="5094" w:firstLineChars="1800"/>
        <w:rPr>
          <w:rFonts w:cs="Times New Roman"/>
        </w:rPr>
      </w:pPr>
      <w:r>
        <w:rPr>
          <w:rFonts w:hint="eastAsia" w:cs="华文仿宋"/>
        </w:rPr>
        <w:t>供应商：</w:t>
      </w:r>
      <w:r>
        <w:rPr>
          <w:rFonts w:hint="eastAsia" w:cs="华文仿宋"/>
          <w:u w:val="single"/>
        </w:rPr>
        <w:t>名称</w:t>
      </w:r>
      <w:r>
        <w:rPr>
          <w:rFonts w:hint="eastAsia" w:cs="华文仿宋"/>
        </w:rPr>
        <w:t>（加盖公章）</w:t>
      </w:r>
    </w:p>
    <w:p w14:paraId="1527E0B2">
      <w:pPr>
        <w:pStyle w:val="9"/>
        <w:ind w:firstLine="5377" w:firstLineChars="1900"/>
      </w:pPr>
      <w:r>
        <w:rPr>
          <w:rFonts w:hint="eastAsia" w:cs="华文仿宋"/>
        </w:rPr>
        <w:t>日期：　　年　月　日</w:t>
      </w:r>
    </w:p>
    <w:p w14:paraId="65EB4BFB">
      <w:pPr>
        <w:tabs>
          <w:tab w:val="left" w:pos="5670"/>
        </w:tabs>
        <w:spacing w:line="500" w:lineRule="exact"/>
        <w:ind w:firstLine="0" w:firstLineChars="0"/>
        <w:jc w:val="left"/>
        <w:rPr>
          <w:rFonts w:hint="eastAsia" w:ascii="宋体" w:hAnsi="宋体" w:eastAsia="宋体" w:cs="宋体"/>
          <w:color w:val="auto"/>
          <w:sz w:val="21"/>
          <w:szCs w:val="21"/>
        </w:rPr>
      </w:pPr>
    </w:p>
    <w:p w14:paraId="67298B20">
      <w:pPr>
        <w:tabs>
          <w:tab w:val="left" w:pos="5670"/>
        </w:tabs>
        <w:spacing w:line="500" w:lineRule="exact"/>
        <w:ind w:firstLine="0" w:firstLineChars="0"/>
        <w:jc w:val="left"/>
        <w:rPr>
          <w:rFonts w:ascii="宋体" w:hAnsi="宋体" w:eastAsia="宋体" w:cs="宋体"/>
          <w:color w:val="auto"/>
          <w:sz w:val="21"/>
          <w:szCs w:val="21"/>
        </w:rPr>
      </w:pPr>
      <w:r>
        <w:rPr>
          <w:rFonts w:hint="eastAsia" w:ascii="宋体" w:hAnsi="宋体" w:eastAsia="宋体" w:cs="宋体"/>
          <w:color w:val="auto"/>
          <w:sz w:val="21"/>
          <w:szCs w:val="21"/>
        </w:rPr>
        <w:t>备注：填写前请认真阅读《工业和信息化部、国家统计局、国家发展和改革委员会、财政部关于印发中小企业划型标准规定的通知》（工信部联企业[2011]300号）和《财政部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14:paraId="71972276">
      <w:pPr>
        <w:pStyle w:val="16"/>
        <w:rPr>
          <w:color w:val="auto"/>
        </w:rPr>
      </w:pPr>
    </w:p>
    <w:p w14:paraId="5D89F82C">
      <w:pPr>
        <w:pStyle w:val="52"/>
        <w:ind w:firstLine="567"/>
        <w:rPr>
          <w:color w:val="auto"/>
        </w:rPr>
      </w:pPr>
    </w:p>
    <w:p w14:paraId="294C0025">
      <w:pPr>
        <w:tabs>
          <w:tab w:val="left" w:pos="5670"/>
        </w:tabs>
        <w:spacing w:line="500" w:lineRule="exact"/>
        <w:jc w:val="center"/>
        <w:rPr>
          <w:color w:val="auto"/>
        </w:rPr>
      </w:pPr>
      <w:r>
        <w:rPr>
          <w:color w:val="auto"/>
        </w:rPr>
        <w:br w:type="page"/>
      </w:r>
    </w:p>
    <w:p w14:paraId="61B98BE2">
      <w:pPr>
        <w:tabs>
          <w:tab w:val="left" w:pos="5670"/>
        </w:tabs>
        <w:spacing w:line="500" w:lineRule="exact"/>
        <w:ind w:firstLine="566" w:firstLineChars="200"/>
        <w:jc w:val="left"/>
        <w:rPr>
          <w:rFonts w:hint="eastAsia"/>
          <w:color w:val="auto"/>
          <w:lang w:val="en-US" w:eastAsia="zh-CN"/>
        </w:rPr>
      </w:pPr>
      <w:r>
        <w:rPr>
          <w:rFonts w:hint="eastAsia"/>
          <w:color w:val="auto"/>
          <w:lang w:eastAsia="zh-CN"/>
        </w:rPr>
        <w:t>（</w:t>
      </w:r>
      <w:r>
        <w:rPr>
          <w:rFonts w:hint="eastAsia"/>
          <w:color w:val="auto"/>
          <w:lang w:val="en-US" w:eastAsia="zh-CN"/>
        </w:rPr>
        <w:t>二）关于监狱企业的证明文件</w:t>
      </w:r>
    </w:p>
    <w:p w14:paraId="0DD3BAE4">
      <w:pPr>
        <w:spacing w:line="500" w:lineRule="exact"/>
        <w:ind w:firstLine="566" w:firstLineChars="200"/>
        <w:jc w:val="left"/>
        <w:rPr>
          <w:color w:val="auto"/>
        </w:rPr>
      </w:pPr>
      <w:r>
        <w:rPr>
          <w:rFonts w:hint="eastAsia"/>
          <w:color w:val="auto"/>
        </w:rPr>
        <w:t>根据财政部、司法部《关于政府采购支持监狱企业发展有关问题的通知》（财库〔</w:t>
      </w:r>
      <w:r>
        <w:rPr>
          <w:rFonts w:hint="eastAsia" w:ascii="仿宋" w:hAnsi="仿宋" w:eastAsia="仿宋" w:cs="仿宋"/>
          <w:color w:val="auto"/>
        </w:rPr>
        <w:t>2014</w:t>
      </w:r>
      <w:r>
        <w:rPr>
          <w:rFonts w:hint="eastAsia"/>
          <w:color w:val="auto"/>
        </w:rPr>
        <w:t>〕</w:t>
      </w:r>
      <w:r>
        <w:rPr>
          <w:rFonts w:hint="eastAsia" w:ascii="仿宋" w:hAnsi="仿宋" w:eastAsia="仿宋" w:cs="仿宋"/>
          <w:color w:val="auto"/>
        </w:rPr>
        <w:t>68</w:t>
      </w:r>
      <w:r>
        <w:rPr>
          <w:rFonts w:hint="eastAsia"/>
          <w:color w:val="auto"/>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382406">
      <w:pPr>
        <w:spacing w:line="500" w:lineRule="exact"/>
        <w:ind w:firstLine="566" w:firstLineChars="200"/>
        <w:jc w:val="left"/>
        <w:rPr>
          <w:color w:val="auto"/>
        </w:rPr>
      </w:pPr>
      <w:r>
        <w:rPr>
          <w:rFonts w:hint="eastAsia"/>
          <w:color w:val="auto"/>
        </w:rPr>
        <w:t>监狱企业参加政府采购活动时，应当提供由省级以上监狱管理局、戒毒管理局（含新疆生产建设兵团）出具的属于监狱企业的证明文件。</w:t>
      </w:r>
    </w:p>
    <w:p w14:paraId="72D489F4">
      <w:pPr>
        <w:tabs>
          <w:tab w:val="left" w:pos="5670"/>
        </w:tabs>
        <w:spacing w:line="500" w:lineRule="exact"/>
        <w:ind w:firstLine="566" w:firstLineChars="200"/>
        <w:jc w:val="left"/>
        <w:rPr>
          <w:rFonts w:hint="default"/>
          <w:color w:val="auto"/>
          <w:lang w:val="en-US" w:eastAsia="zh-CN"/>
        </w:rPr>
      </w:pPr>
    </w:p>
    <w:p w14:paraId="28D85FBB">
      <w:pPr>
        <w:spacing w:line="240" w:lineRule="auto"/>
        <w:jc w:val="left"/>
        <w:rPr>
          <w:rFonts w:hint="eastAsia"/>
          <w:color w:val="auto"/>
          <w:lang w:val="en-US" w:eastAsia="zh-CN"/>
        </w:rPr>
      </w:pPr>
      <w:r>
        <w:rPr>
          <w:rFonts w:hint="eastAsia"/>
          <w:color w:val="auto"/>
          <w:lang w:val="en-US" w:eastAsia="zh-CN"/>
        </w:rPr>
        <w:br w:type="page"/>
      </w:r>
    </w:p>
    <w:p w14:paraId="72FAEFCC">
      <w:pPr>
        <w:tabs>
          <w:tab w:val="left" w:pos="5670"/>
        </w:tabs>
        <w:spacing w:line="500" w:lineRule="exact"/>
        <w:ind w:firstLine="566" w:firstLineChars="200"/>
        <w:jc w:val="left"/>
        <w:rPr>
          <w:rFonts w:hint="default"/>
          <w:color w:val="auto"/>
          <w:lang w:val="en-US" w:eastAsia="zh-CN"/>
        </w:rPr>
      </w:pPr>
      <w:r>
        <w:rPr>
          <w:rFonts w:hint="eastAsia"/>
          <w:color w:val="auto"/>
          <w:lang w:val="en-US" w:eastAsia="zh-CN"/>
        </w:rPr>
        <w:t>（三）关于残疾人福利性单位判定</w:t>
      </w:r>
    </w:p>
    <w:p w14:paraId="6AD1E761">
      <w:pPr>
        <w:tabs>
          <w:tab w:val="left" w:pos="5670"/>
        </w:tabs>
        <w:spacing w:line="500" w:lineRule="exact"/>
        <w:jc w:val="center"/>
        <w:rPr>
          <w:color w:val="auto"/>
        </w:rPr>
      </w:pPr>
    </w:p>
    <w:p w14:paraId="57016D2C">
      <w:pPr>
        <w:tabs>
          <w:tab w:val="left" w:pos="5670"/>
        </w:tabs>
        <w:spacing w:line="500" w:lineRule="exact"/>
        <w:jc w:val="center"/>
        <w:rPr>
          <w:b/>
          <w:color w:val="auto"/>
          <w:sz w:val="30"/>
          <w:szCs w:val="30"/>
        </w:rPr>
      </w:pPr>
      <w:r>
        <w:rPr>
          <w:rFonts w:hint="eastAsia"/>
          <w:b/>
          <w:color w:val="auto"/>
          <w:sz w:val="30"/>
          <w:szCs w:val="30"/>
        </w:rPr>
        <w:t>残疾人福利性单位声明函（格式）</w:t>
      </w:r>
    </w:p>
    <w:p w14:paraId="3C683D7A">
      <w:pPr>
        <w:spacing w:line="500" w:lineRule="exact"/>
        <w:ind w:firstLine="566" w:firstLineChars="200"/>
        <w:jc w:val="left"/>
        <w:rPr>
          <w:color w:val="auto"/>
        </w:rPr>
      </w:pPr>
      <w:r>
        <w:rPr>
          <w:rFonts w:hint="eastAsia"/>
          <w:color w:val="auto"/>
        </w:rPr>
        <w:t>本单位郑重声明，根据《财政部 民政部 中国残疾人联合会关于促进残疾人就业政府采购政策的通知》（财库〔</w:t>
      </w:r>
      <w:r>
        <w:rPr>
          <w:rFonts w:hint="eastAsia" w:ascii="仿宋" w:hAnsi="仿宋" w:eastAsia="仿宋" w:cs="仿宋"/>
          <w:color w:val="auto"/>
        </w:rPr>
        <w:t>2017</w:t>
      </w:r>
      <w:r>
        <w:rPr>
          <w:rFonts w:hint="eastAsia"/>
          <w:color w:val="auto"/>
        </w:rPr>
        <w:t>〕</w:t>
      </w:r>
      <w:r>
        <w:rPr>
          <w:rFonts w:hint="eastAsia" w:ascii="仿宋" w:hAnsi="仿宋" w:eastAsia="仿宋" w:cs="仿宋"/>
          <w:color w:val="auto"/>
        </w:rPr>
        <w:t>141</w:t>
      </w:r>
      <w:r>
        <w:rPr>
          <w:rFonts w:hint="eastAsia"/>
          <w:color w:val="auto"/>
        </w:rPr>
        <w:t>号）的规定，本单位为符合条件的残疾人福利性单位，且本单位参加</w:t>
      </w:r>
      <w:r>
        <w:rPr>
          <w:rFonts w:hint="eastAsia"/>
          <w:color w:val="auto"/>
          <w:u w:val="single"/>
        </w:rPr>
        <w:t>（项目名称）</w:t>
      </w:r>
      <w:r>
        <w:rPr>
          <w:rFonts w:hint="eastAsia"/>
          <w:color w:val="auto"/>
        </w:rPr>
        <w:t>（项目编号：</w:t>
      </w:r>
      <w:r>
        <w:rPr>
          <w:rFonts w:hint="eastAsia"/>
          <w:color w:val="auto"/>
          <w:u w:val="single"/>
        </w:rPr>
        <w:t xml:space="preserve">       </w:t>
      </w:r>
      <w:r>
        <w:rPr>
          <w:rFonts w:hint="eastAsia"/>
          <w:color w:val="auto"/>
        </w:rPr>
        <w:t>）第___标段采购活动提供本单位制造的货物（由本单位承担工程/提供服务），或者提供其他残疾人福利性单位制造的货物（不包括使用非残疾人福利性单位注册商标的货物）。</w:t>
      </w:r>
    </w:p>
    <w:p w14:paraId="6AEC9653">
      <w:pPr>
        <w:spacing w:line="500" w:lineRule="exact"/>
        <w:ind w:firstLine="566" w:firstLineChars="200"/>
        <w:jc w:val="left"/>
        <w:rPr>
          <w:color w:val="auto"/>
        </w:rPr>
      </w:pPr>
      <w:r>
        <w:rPr>
          <w:rFonts w:hint="eastAsia"/>
          <w:color w:val="auto"/>
        </w:rPr>
        <w:t>本单位对上述声明的真实性负责。如有虚假，将依法承担相应责任。</w:t>
      </w:r>
    </w:p>
    <w:p w14:paraId="3CD68C89">
      <w:pPr>
        <w:spacing w:line="500" w:lineRule="exact"/>
        <w:ind w:firstLine="566" w:firstLineChars="200"/>
        <w:jc w:val="left"/>
        <w:rPr>
          <w:color w:val="auto"/>
        </w:rPr>
      </w:pPr>
    </w:p>
    <w:p w14:paraId="7E95285F">
      <w:pPr>
        <w:spacing w:line="500" w:lineRule="exact"/>
        <w:ind w:firstLine="5094" w:firstLineChars="1800"/>
        <w:rPr>
          <w:rFonts w:ascii="仿宋" w:hAnsi="仿宋" w:eastAsia="仿宋" w:cs="仿宋"/>
          <w:color w:val="auto"/>
        </w:rPr>
      </w:pPr>
      <w:r>
        <w:rPr>
          <w:rFonts w:hint="eastAsia" w:ascii="仿宋" w:hAnsi="仿宋" w:eastAsia="仿宋" w:cs="仿宋"/>
          <w:color w:val="auto"/>
        </w:rPr>
        <w:t>供应商：</w:t>
      </w:r>
      <w:r>
        <w:rPr>
          <w:rFonts w:hint="eastAsia" w:ascii="仿宋" w:hAnsi="仿宋" w:eastAsia="仿宋" w:cs="仿宋"/>
          <w:color w:val="auto"/>
          <w:u w:val="single"/>
        </w:rPr>
        <w:t>名称</w:t>
      </w:r>
      <w:r>
        <w:rPr>
          <w:rFonts w:hint="eastAsia" w:ascii="仿宋" w:hAnsi="仿宋" w:eastAsia="仿宋" w:cs="仿宋"/>
          <w:color w:val="auto"/>
        </w:rPr>
        <w:t>（加盖公章）</w:t>
      </w:r>
    </w:p>
    <w:p w14:paraId="739AFF41">
      <w:pPr>
        <w:tabs>
          <w:tab w:val="left" w:pos="5670"/>
        </w:tabs>
        <w:spacing w:line="500" w:lineRule="exact"/>
        <w:ind w:firstLine="5377" w:firstLineChars="1900"/>
        <w:jc w:val="left"/>
        <w:rPr>
          <w:color w:val="auto"/>
        </w:rPr>
      </w:pPr>
      <w:r>
        <w:rPr>
          <w:rFonts w:hint="eastAsia" w:ascii="仿宋" w:hAnsi="仿宋" w:eastAsia="仿宋" w:cs="仿宋"/>
          <w:color w:val="auto"/>
        </w:rPr>
        <w:t>日期：　　年　月　日</w:t>
      </w:r>
    </w:p>
    <w:p w14:paraId="7D2A2373">
      <w:pPr>
        <w:tabs>
          <w:tab w:val="left" w:pos="5670"/>
        </w:tabs>
        <w:spacing w:line="500" w:lineRule="exact"/>
        <w:ind w:firstLine="566" w:firstLineChars="200"/>
        <w:jc w:val="left"/>
        <w:rPr>
          <w:color w:val="auto"/>
        </w:rPr>
      </w:pPr>
    </w:p>
    <w:p w14:paraId="0DB3AB33">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b/>
          <w:bCs/>
          <w:color w:val="auto"/>
          <w:sz w:val="21"/>
          <w:szCs w:val="21"/>
        </w:rPr>
        <w:t>备注：</w:t>
      </w:r>
      <w:r>
        <w:rPr>
          <w:rFonts w:hint="eastAsia" w:ascii="宋体" w:hAnsi="宋体" w:eastAsia="宋体" w:cs="宋体"/>
          <w:color w:val="auto"/>
          <w:sz w:val="21"/>
          <w:szCs w:val="21"/>
        </w:rPr>
        <w:t>项目不分标段的，第___标段空白处填写“/”。</w:t>
      </w:r>
    </w:p>
    <w:p w14:paraId="66DFD79D">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根据《财政部 民政部 中国残疾人联合会关于促进残疾人就业政府采购政策的通知》（财库〔2017〕141号）的规定：</w:t>
      </w:r>
    </w:p>
    <w:p w14:paraId="306DDFF4">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一、享受政府采购支持政策的残疾人福利性单位应当同时满足以下条件：</w:t>
      </w:r>
    </w:p>
    <w:p w14:paraId="6749012B">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（一）安置的残疾人占本单位在职职工人数的比例不低于</w:t>
      </w:r>
      <w:r>
        <w:rPr>
          <w:rFonts w:hint="eastAsia" w:ascii="仿宋" w:hAnsi="仿宋" w:eastAsia="仿宋" w:cs="仿宋"/>
          <w:color w:val="auto"/>
          <w:sz w:val="21"/>
          <w:szCs w:val="21"/>
        </w:rPr>
        <w:t>25</w:t>
      </w:r>
      <w:r>
        <w:rPr>
          <w:rFonts w:hint="eastAsia" w:ascii="宋体" w:hAnsi="宋体" w:eastAsia="宋体" w:cs="宋体"/>
          <w:color w:val="auto"/>
          <w:sz w:val="21"/>
          <w:szCs w:val="21"/>
        </w:rPr>
        <w:t>%（含</w:t>
      </w:r>
      <w:r>
        <w:rPr>
          <w:rFonts w:hint="eastAsia" w:ascii="仿宋" w:hAnsi="仿宋" w:eastAsia="仿宋" w:cs="仿宋"/>
          <w:color w:val="auto"/>
          <w:sz w:val="21"/>
          <w:szCs w:val="21"/>
        </w:rPr>
        <w:t>25</w:t>
      </w:r>
      <w:r>
        <w:rPr>
          <w:rFonts w:hint="eastAsia" w:ascii="宋体" w:hAnsi="宋体" w:eastAsia="宋体" w:cs="宋体"/>
          <w:color w:val="auto"/>
          <w:sz w:val="21"/>
          <w:szCs w:val="21"/>
        </w:rPr>
        <w:t>%），并且安置的残疾人人数不少于10人（含10人）；</w:t>
      </w:r>
    </w:p>
    <w:p w14:paraId="72F588BC">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（二）依法与安置的每位残疾人签订了一年以上（含一年）的劳动合同或服务协议；</w:t>
      </w:r>
    </w:p>
    <w:p w14:paraId="553443A5">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（三）为安置的每位残疾人按月足额缴纳了基本养老保险、基本医疗保险、失业保险、工伤保险和生育保险等社会保险费；</w:t>
      </w:r>
    </w:p>
    <w:p w14:paraId="6BAE2E76">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（四）通过银行等金融机构向安置的每位残疾人，按月支付了不低于单位所在区县适用的经省级人民政府批准的月最低工资标准的工资；</w:t>
      </w:r>
    </w:p>
    <w:p w14:paraId="32E06821">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（五）提供本单位制造的货物、承担的工程或者服务（以下简称产品），或者提供其他残疾人福利性单位制造的货物（不包括使用非残疾人福利性单位注册商标的货物）。</w:t>
      </w:r>
    </w:p>
    <w:p w14:paraId="1EF3F633">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C40043E">
      <w:pPr>
        <w:tabs>
          <w:tab w:val="left" w:pos="5670"/>
        </w:tabs>
        <w:spacing w:line="240" w:lineRule="auto"/>
        <w:ind w:firstLine="426" w:firstLineChars="200"/>
        <w:jc w:val="left"/>
        <w:rPr>
          <w:rFonts w:ascii="宋体" w:hAnsi="宋体" w:eastAsia="宋体" w:cs="宋体"/>
          <w:color w:val="auto"/>
          <w:sz w:val="21"/>
          <w:szCs w:val="21"/>
        </w:rPr>
      </w:pPr>
      <w:r>
        <w:rPr>
          <w:rFonts w:hint="eastAsia" w:ascii="宋体" w:hAnsi="宋体" w:eastAsia="宋体" w:cs="宋体"/>
          <w:color w:val="auto"/>
          <w:sz w:val="21"/>
          <w:szCs w:val="21"/>
        </w:rPr>
        <w:t>二、中标、成交供应商为残疾人福利性单位的，采购人或者其委托的采购代理机构应当随中标、成交结果同时公告其《残疾人福利性单位声明函》，接受社会监督。</w:t>
      </w:r>
    </w:p>
    <w:p w14:paraId="48515CA3">
      <w:pPr>
        <w:pStyle w:val="49"/>
        <w:spacing w:line="500" w:lineRule="atLeast"/>
        <w:rPr>
          <w:color w:val="auto"/>
          <w:sz w:val="30"/>
          <w:szCs w:val="30"/>
        </w:rPr>
      </w:pPr>
      <w:r>
        <w:rPr>
          <w:rFonts w:hint="eastAsia"/>
          <w:color w:val="auto"/>
          <w:sz w:val="30"/>
          <w:szCs w:val="30"/>
          <w:lang w:val="en-US" w:eastAsia="zh-CN"/>
        </w:rPr>
        <w:t>十、</w:t>
      </w:r>
      <w:r>
        <w:rPr>
          <w:rFonts w:hint="eastAsia"/>
          <w:color w:val="auto"/>
          <w:sz w:val="30"/>
          <w:szCs w:val="30"/>
        </w:rPr>
        <w:t>特定资格要求</w:t>
      </w:r>
    </w:p>
    <w:p w14:paraId="06F29550">
      <w:pPr>
        <w:spacing w:line="500" w:lineRule="exact"/>
        <w:ind w:firstLine="566" w:firstLineChars="200"/>
        <w:rPr>
          <w:rFonts w:hint="default" w:ascii="华文仿宋" w:hAnsi="华文仿宋" w:cs="华文仿宋"/>
          <w:color w:val="auto"/>
          <w:lang w:val="en-US" w:eastAsia="zh-CN"/>
        </w:rPr>
      </w:pPr>
      <w:r>
        <w:rPr>
          <w:rFonts w:hint="eastAsia"/>
          <w:b/>
          <w:bCs/>
          <w:color w:val="auto"/>
        </w:rPr>
        <w:t>特定资格要求：</w:t>
      </w:r>
      <w:r>
        <w:rPr>
          <w:rFonts w:hint="eastAsia" w:ascii="华文仿宋" w:hAnsi="华文仿宋" w:cs="华文仿宋"/>
          <w:color w:val="auto"/>
          <w:lang w:val="en-US" w:eastAsia="zh-CN"/>
        </w:rPr>
        <w:t xml:space="preserve">以下两种形式提供其中任意一种均可。 </w:t>
      </w:r>
    </w:p>
    <w:p w14:paraId="0964CCEC">
      <w:pPr>
        <w:spacing w:line="500" w:lineRule="exact"/>
        <w:ind w:firstLine="566" w:firstLineChars="200"/>
        <w:rPr>
          <w:rFonts w:hint="eastAsia" w:ascii="华文仿宋" w:hAnsi="华文仿宋" w:cs="华文仿宋"/>
          <w:color w:val="auto"/>
        </w:rPr>
      </w:pPr>
      <w:r>
        <w:rPr>
          <w:rFonts w:hint="default" w:ascii="华文仿宋" w:hAnsi="华文仿宋" w:cs="华文仿宋"/>
          <w:color w:val="auto"/>
          <w:lang w:val="en-US" w:eastAsia="zh-CN"/>
        </w:rPr>
        <w:t>（</w:t>
      </w:r>
      <w:r>
        <w:rPr>
          <w:rFonts w:hint="eastAsia" w:ascii="华文仿宋" w:hAnsi="华文仿宋" w:cs="华文仿宋"/>
          <w:color w:val="auto"/>
          <w:lang w:val="en-US" w:eastAsia="zh-CN"/>
        </w:rPr>
        <w:t>1</w:t>
      </w:r>
      <w:r>
        <w:rPr>
          <w:rFonts w:hint="default" w:ascii="华文仿宋" w:hAnsi="华文仿宋" w:cs="华文仿宋"/>
          <w:color w:val="auto"/>
          <w:lang w:val="en-US" w:eastAsia="zh-CN"/>
        </w:rPr>
        <w:t>）自行招用保安员的物业服务企业</w:t>
      </w:r>
      <w:r>
        <w:rPr>
          <w:rFonts w:hint="eastAsia" w:ascii="华文仿宋" w:hAnsi="华文仿宋" w:cs="华文仿宋"/>
          <w:color w:val="auto"/>
          <w:lang w:val="en-US" w:eastAsia="zh-CN"/>
        </w:rPr>
        <w:t>应</w:t>
      </w:r>
      <w:r>
        <w:rPr>
          <w:rFonts w:hint="default" w:ascii="华文仿宋" w:hAnsi="华文仿宋" w:cs="华文仿宋"/>
          <w:color w:val="auto"/>
          <w:lang w:val="en-US" w:eastAsia="zh-CN"/>
        </w:rPr>
        <w:t>出具承诺书（承诺书形式不限），承诺自开始提供</w:t>
      </w:r>
      <w:r>
        <w:rPr>
          <w:rFonts w:hint="eastAsia" w:ascii="华文仿宋" w:hAnsi="华文仿宋" w:cs="华文仿宋"/>
          <w:color w:val="auto"/>
          <w:lang w:val="en-US" w:eastAsia="zh-CN"/>
        </w:rPr>
        <w:t>本</w:t>
      </w:r>
      <w:r>
        <w:rPr>
          <w:rFonts w:hint="default" w:ascii="华文仿宋" w:hAnsi="华文仿宋" w:cs="华文仿宋"/>
          <w:color w:val="auto"/>
          <w:lang w:val="en-US" w:eastAsia="zh-CN"/>
        </w:rPr>
        <w:t>项目</w:t>
      </w:r>
      <w:r>
        <w:rPr>
          <w:rFonts w:hint="eastAsia" w:ascii="华文仿宋" w:hAnsi="华文仿宋" w:cs="华文仿宋"/>
          <w:color w:val="auto"/>
          <w:lang w:val="en-US" w:eastAsia="zh-CN"/>
        </w:rPr>
        <w:t>服务</w:t>
      </w:r>
      <w:r>
        <w:rPr>
          <w:rFonts w:hint="default" w:ascii="华文仿宋" w:hAnsi="华文仿宋" w:cs="华文仿宋"/>
          <w:color w:val="auto"/>
          <w:lang w:val="en-US" w:eastAsia="zh-CN"/>
        </w:rPr>
        <w:t xml:space="preserve">之日起30日内向所在地设区的市级人民政府公安机关备案。 </w:t>
      </w:r>
    </w:p>
    <w:p w14:paraId="7A9D47B3">
      <w:pPr>
        <w:spacing w:line="500" w:lineRule="exact"/>
        <w:ind w:firstLine="566" w:firstLineChars="200"/>
        <w:rPr>
          <w:rFonts w:hint="eastAsia" w:ascii="华文仿宋" w:hAnsi="华文仿宋" w:cs="华文仿宋"/>
          <w:color w:val="auto"/>
        </w:rPr>
      </w:pPr>
      <w:r>
        <w:rPr>
          <w:rFonts w:hint="eastAsia" w:ascii="华文仿宋" w:hAnsi="华文仿宋" w:cs="华文仿宋"/>
          <w:color w:val="auto"/>
          <w:lang w:val="en-US" w:eastAsia="zh-CN"/>
        </w:rPr>
        <w:t xml:space="preserve">（2）从保安服务公司购买保安服务的供应商，需提供与保安服务公司 </w:t>
      </w:r>
    </w:p>
    <w:p w14:paraId="2DCB0715">
      <w:pPr>
        <w:spacing w:line="500" w:lineRule="exact"/>
        <w:rPr>
          <w:rFonts w:hint="eastAsia" w:ascii="华文仿宋" w:hAnsi="华文仿宋" w:cs="华文仿宋"/>
          <w:color w:val="auto"/>
          <w:lang w:val="en-US" w:eastAsia="zh-CN"/>
        </w:rPr>
      </w:pPr>
      <w:r>
        <w:rPr>
          <w:rFonts w:hint="eastAsia" w:ascii="华文仿宋" w:hAnsi="华文仿宋" w:cs="华文仿宋"/>
          <w:color w:val="auto"/>
          <w:lang w:val="en-US" w:eastAsia="zh-CN"/>
        </w:rPr>
        <w:t>签订的保安服务合同，明确规定服务的项目、内容以及双方的权利义务。</w:t>
      </w:r>
    </w:p>
    <w:p w14:paraId="3253C8C7">
      <w:pPr>
        <w:spacing w:line="500" w:lineRule="exact"/>
        <w:ind w:firstLine="566" w:firstLineChars="200"/>
        <w:rPr>
          <w:rFonts w:hint="eastAsia" w:ascii="华文仿宋" w:hAnsi="华文仿宋" w:cs="华文仿宋"/>
          <w:color w:val="auto"/>
          <w:highlight w:val="none"/>
          <w:lang w:eastAsia="zh-CN"/>
        </w:rPr>
      </w:pPr>
    </w:p>
    <w:p w14:paraId="31493908">
      <w:pPr>
        <w:spacing w:line="500" w:lineRule="exact"/>
        <w:ind w:firstLine="0" w:firstLineChars="0"/>
        <w:rPr>
          <w:rFonts w:hint="eastAsia" w:ascii="华文仿宋" w:hAnsi="华文仿宋" w:cs="华文仿宋"/>
          <w:b/>
          <w:bCs/>
          <w:color w:val="auto"/>
          <w:highlight w:val="none"/>
          <w:lang w:val="en-US" w:eastAsia="zh-CN"/>
        </w:rPr>
      </w:pPr>
      <w:r>
        <w:rPr>
          <w:rFonts w:hint="eastAsia" w:ascii="华文仿宋" w:hAnsi="华文仿宋" w:cs="华文仿宋"/>
          <w:b/>
          <w:bCs/>
          <w:color w:val="auto"/>
          <w:highlight w:val="none"/>
          <w:lang w:val="en-US" w:eastAsia="zh-CN"/>
        </w:rPr>
        <w:t>十一、本项目不接受联合体投标不允许分包</w:t>
      </w:r>
    </w:p>
    <w:p w14:paraId="56C24068">
      <w:pPr>
        <w:spacing w:line="500" w:lineRule="exact"/>
        <w:ind w:firstLine="566" w:firstLineChars="200"/>
        <w:rPr>
          <w:rFonts w:hint="eastAsia" w:ascii="华文仿宋" w:hAnsi="华文仿宋" w:cs="华文仿宋"/>
          <w:color w:val="auto"/>
          <w:highlight w:val="none"/>
          <w:lang w:eastAsia="zh-CN"/>
        </w:rPr>
      </w:pPr>
    </w:p>
    <w:p w14:paraId="28718369">
      <w:pPr>
        <w:pStyle w:val="9"/>
        <w:jc w:val="center"/>
        <w:rPr>
          <w:rFonts w:hint="default"/>
          <w:b/>
          <w:bCs/>
          <w:lang w:val="en-US" w:eastAsia="zh-CN"/>
        </w:rPr>
      </w:pPr>
      <w:r>
        <w:rPr>
          <w:rFonts w:hint="eastAsia" w:ascii="华文仿宋" w:hAnsi="华文仿宋" w:cs="华文仿宋"/>
          <w:b/>
          <w:bCs/>
          <w:color w:val="auto"/>
          <w:highlight w:val="none"/>
          <w:lang w:val="en-US" w:eastAsia="zh-CN"/>
        </w:rPr>
        <w:t>非联合体不分包投标声明（格式）</w:t>
      </w:r>
    </w:p>
    <w:p w14:paraId="0FA8F828">
      <w:pPr>
        <w:spacing w:line="500" w:lineRule="exact"/>
        <w:ind w:firstLine="566" w:firstLineChars="200"/>
        <w:rPr>
          <w:rFonts w:hint="eastAsia" w:ascii="华文仿宋" w:hAnsi="华文仿宋" w:cs="华文仿宋"/>
          <w:color w:val="auto"/>
          <w:highlight w:val="none"/>
          <w:lang w:eastAsia="zh-CN"/>
        </w:rPr>
      </w:pPr>
    </w:p>
    <w:p w14:paraId="04F8CA37">
      <w:pPr>
        <w:spacing w:line="500" w:lineRule="exact"/>
        <w:ind w:firstLine="566" w:firstLineChars="200"/>
        <w:rPr>
          <w:rFonts w:hint="eastAsia" w:ascii="华文仿宋" w:hAnsi="华文仿宋" w:cs="华文仿宋"/>
          <w:color w:val="auto"/>
          <w:highlight w:val="none"/>
          <w:lang w:val="en-US" w:eastAsia="zh-CN"/>
        </w:rPr>
      </w:pPr>
      <w:r>
        <w:rPr>
          <w:rFonts w:hint="eastAsia" w:ascii="华文仿宋" w:hAnsi="华文仿宋" w:cs="华文仿宋"/>
          <w:color w:val="auto"/>
          <w:highlight w:val="none"/>
          <w:lang w:val="en-US" w:eastAsia="zh-CN"/>
        </w:rPr>
        <w:t>本单位郑重声明，参加陕西省省级单位政府采购中心的</w:t>
      </w:r>
      <w:r>
        <w:rPr>
          <w:rFonts w:hint="eastAsia" w:ascii="华文仿宋" w:hAnsi="华文仿宋" w:cs="华文仿宋"/>
          <w:color w:val="auto"/>
          <w:highlight w:val="none"/>
          <w:u w:val="single"/>
          <w:lang w:val="en-US" w:eastAsia="zh-CN"/>
        </w:rPr>
        <w:t>项目名称</w:t>
      </w:r>
      <w:r>
        <w:rPr>
          <w:rFonts w:hint="eastAsia" w:ascii="华文仿宋" w:hAnsi="华文仿宋" w:cs="华文仿宋"/>
          <w:color w:val="auto"/>
          <w:highlight w:val="none"/>
          <w:lang w:val="en-US" w:eastAsia="zh-CN"/>
        </w:rPr>
        <w:t>（项目编号：</w:t>
      </w:r>
      <w:r>
        <w:rPr>
          <w:rFonts w:hint="eastAsia" w:ascii="华文仿宋" w:hAnsi="华文仿宋" w:cs="华文仿宋"/>
          <w:color w:val="auto"/>
          <w:highlight w:val="none"/>
          <w:u w:val="single"/>
          <w:lang w:val="en-US" w:eastAsia="zh-CN"/>
        </w:rPr>
        <w:t xml:space="preserve">     </w:t>
      </w:r>
      <w:r>
        <w:rPr>
          <w:rFonts w:hint="eastAsia" w:ascii="华文仿宋" w:hAnsi="华文仿宋" w:cs="华文仿宋"/>
          <w:color w:val="auto"/>
          <w:highlight w:val="none"/>
          <w:lang w:val="en-US" w:eastAsia="zh-CN"/>
        </w:rPr>
        <w:t>）第</w:t>
      </w:r>
      <w:r>
        <w:rPr>
          <w:rFonts w:hint="eastAsia" w:ascii="华文仿宋" w:hAnsi="华文仿宋" w:cs="华文仿宋"/>
          <w:color w:val="auto"/>
          <w:highlight w:val="none"/>
          <w:u w:val="single"/>
          <w:lang w:val="en-US" w:eastAsia="zh-CN"/>
        </w:rPr>
        <w:t xml:space="preserve">     </w:t>
      </w:r>
      <w:r>
        <w:rPr>
          <w:rFonts w:hint="eastAsia" w:ascii="华文仿宋" w:hAnsi="华文仿宋" w:cs="华文仿宋"/>
          <w:color w:val="auto"/>
          <w:highlight w:val="none"/>
          <w:lang w:val="en-US" w:eastAsia="zh-CN"/>
        </w:rPr>
        <w:t>标段采购活动，为非联合体投标，本项目实施过程由本单位独立承担。</w:t>
      </w:r>
    </w:p>
    <w:p w14:paraId="25796625">
      <w:pPr>
        <w:spacing w:line="500" w:lineRule="exact"/>
        <w:ind w:firstLine="566" w:firstLineChars="200"/>
        <w:jc w:val="left"/>
        <w:rPr>
          <w:color w:val="auto"/>
        </w:rPr>
      </w:pPr>
      <w:r>
        <w:rPr>
          <w:rFonts w:hint="eastAsia"/>
          <w:color w:val="auto"/>
        </w:rPr>
        <w:t>本单位对上述声明的真实性负责。如有虚假，将依法承担相应责任。</w:t>
      </w:r>
    </w:p>
    <w:p w14:paraId="1AE2801B">
      <w:pPr>
        <w:spacing w:line="500" w:lineRule="exact"/>
        <w:ind w:firstLine="566" w:firstLineChars="200"/>
        <w:jc w:val="left"/>
        <w:rPr>
          <w:color w:val="auto"/>
        </w:rPr>
      </w:pPr>
    </w:p>
    <w:p w14:paraId="036414F0">
      <w:pPr>
        <w:pStyle w:val="9"/>
      </w:pPr>
    </w:p>
    <w:p w14:paraId="58B5C86B">
      <w:pPr>
        <w:spacing w:line="500" w:lineRule="exact"/>
        <w:ind w:firstLine="5094" w:firstLineChars="1800"/>
        <w:rPr>
          <w:rFonts w:ascii="仿宋" w:hAnsi="仿宋" w:eastAsia="仿宋" w:cs="仿宋"/>
          <w:color w:val="auto"/>
        </w:rPr>
      </w:pPr>
      <w:r>
        <w:rPr>
          <w:rFonts w:hint="eastAsia" w:ascii="仿宋" w:hAnsi="仿宋" w:eastAsia="仿宋" w:cs="仿宋"/>
          <w:color w:val="auto"/>
        </w:rPr>
        <w:t>供应商：</w:t>
      </w:r>
      <w:r>
        <w:rPr>
          <w:rFonts w:hint="eastAsia" w:ascii="仿宋" w:hAnsi="仿宋" w:eastAsia="仿宋" w:cs="仿宋"/>
          <w:color w:val="auto"/>
          <w:u w:val="single"/>
        </w:rPr>
        <w:t>名称</w:t>
      </w:r>
      <w:r>
        <w:rPr>
          <w:rFonts w:hint="eastAsia" w:ascii="仿宋" w:hAnsi="仿宋" w:eastAsia="仿宋" w:cs="仿宋"/>
          <w:color w:val="auto"/>
        </w:rPr>
        <w:t>（加盖公章）</w:t>
      </w:r>
    </w:p>
    <w:p w14:paraId="0F500153">
      <w:pPr>
        <w:tabs>
          <w:tab w:val="left" w:pos="5670"/>
        </w:tabs>
        <w:spacing w:line="500" w:lineRule="exact"/>
        <w:ind w:firstLine="5377" w:firstLineChars="1900"/>
        <w:jc w:val="left"/>
        <w:rPr>
          <w:color w:val="auto"/>
        </w:rPr>
      </w:pPr>
      <w:r>
        <w:rPr>
          <w:rFonts w:hint="eastAsia" w:ascii="仿宋" w:hAnsi="仿宋" w:eastAsia="仿宋" w:cs="仿宋"/>
          <w:color w:val="auto"/>
        </w:rPr>
        <w:t>日期：　　年　月　日</w:t>
      </w:r>
    </w:p>
    <w:p w14:paraId="7DFCD22B">
      <w:pPr>
        <w:tabs>
          <w:tab w:val="left" w:pos="5670"/>
        </w:tabs>
        <w:spacing w:line="500" w:lineRule="exact"/>
        <w:ind w:firstLine="566" w:firstLineChars="200"/>
        <w:jc w:val="left"/>
        <w:rPr>
          <w:color w:val="auto"/>
        </w:rPr>
      </w:pPr>
    </w:p>
    <w:p w14:paraId="78225D1B">
      <w:pPr>
        <w:spacing w:line="500" w:lineRule="exact"/>
        <w:ind w:firstLine="566" w:firstLineChars="200"/>
        <w:rPr>
          <w:rFonts w:hint="eastAsia" w:eastAsia="华文仿宋"/>
          <w:highlight w:val="none"/>
          <w:lang w:eastAsia="zh-CN"/>
        </w:rPr>
      </w:pPr>
    </w:p>
    <w:p w14:paraId="63A9C86F">
      <w:pPr>
        <w:tabs>
          <w:tab w:val="left" w:pos="5670"/>
        </w:tabs>
        <w:spacing w:line="240" w:lineRule="auto"/>
        <w:ind w:firstLine="566"/>
        <w:jc w:val="left"/>
        <w:rPr>
          <w:rFonts w:ascii="宋体" w:hAnsi="宋体" w:eastAsia="宋体" w:cs="宋体"/>
          <w:color w:val="auto"/>
          <w:sz w:val="21"/>
          <w:szCs w:val="21"/>
        </w:rPr>
      </w:pPr>
      <w:r>
        <w:rPr>
          <w:rFonts w:hint="eastAsia" w:ascii="宋体" w:hAnsi="宋体" w:eastAsia="宋体" w:cs="宋体"/>
          <w:b/>
          <w:bCs/>
          <w:color w:val="auto"/>
          <w:sz w:val="21"/>
          <w:szCs w:val="21"/>
        </w:rPr>
        <w:t>备注：</w:t>
      </w:r>
      <w:r>
        <w:rPr>
          <w:rFonts w:hint="eastAsia" w:ascii="宋体" w:hAnsi="宋体" w:eastAsia="宋体" w:cs="宋体"/>
          <w:color w:val="auto"/>
          <w:sz w:val="21"/>
          <w:szCs w:val="21"/>
        </w:rPr>
        <w:t>项目不分标段的，第___标段空白处填写“/”。</w:t>
      </w:r>
    </w:p>
    <w:p w14:paraId="1CDB576A">
      <w:pPr>
        <w:pStyle w:val="9"/>
        <w:rPr>
          <w:rFonts w:hint="eastAsia" w:ascii="宋体" w:hAnsi="宋体" w:eastAsia="宋体" w:cs="宋体"/>
          <w:color w:val="auto"/>
          <w:sz w:val="21"/>
          <w:szCs w:val="21"/>
        </w:rPr>
      </w:pPr>
    </w:p>
    <w:p w14:paraId="01890CD0">
      <w:pPr>
        <w:pStyle w:val="50"/>
        <w:keepNext/>
        <w:keepLines/>
        <w:pageBreakBefore/>
        <w:widowControl/>
        <w:kinsoku/>
        <w:wordWrap/>
        <w:overflowPunct/>
        <w:topLinePunct w:val="0"/>
        <w:autoSpaceDE/>
        <w:autoSpaceDN/>
        <w:bidi w:val="0"/>
        <w:adjustRightInd/>
        <w:snapToGrid/>
        <w:jc w:val="center"/>
        <w:textAlignment w:val="auto"/>
        <w:rPr>
          <w:rFonts w:ascii="黑体" w:hAnsi="黑体" w:eastAsia="黑体"/>
          <w:b w:val="0"/>
          <w:color w:val="auto"/>
        </w:rPr>
      </w:pPr>
      <w:bookmarkStart w:id="406" w:name="_Toc28770"/>
      <w:bookmarkStart w:id="407" w:name="_Toc29866"/>
      <w:bookmarkStart w:id="408" w:name="_Toc15005"/>
      <w:bookmarkStart w:id="409" w:name="_Toc2801"/>
      <w:bookmarkStart w:id="410" w:name="_Toc8772"/>
      <w:bookmarkStart w:id="411" w:name="_Toc29102_WPSOffice_Level2"/>
      <w:bookmarkStart w:id="412" w:name="_Toc20137"/>
      <w:bookmarkStart w:id="413" w:name="_Toc17773_WPSOffice_Level2"/>
      <w:bookmarkStart w:id="414" w:name="_Toc29990_WPSOffice_Level2"/>
      <w:bookmarkStart w:id="415" w:name="_Toc9519_WPSOffice_Level2"/>
      <w:r>
        <w:rPr>
          <w:rFonts w:hint="eastAsia" w:ascii="黑体" w:hAnsi="黑体" w:eastAsia="黑体"/>
          <w:b w:val="0"/>
          <w:color w:val="auto"/>
        </w:rPr>
        <w:t>第二部分  符合性证明文件</w:t>
      </w:r>
      <w:bookmarkEnd w:id="406"/>
      <w:bookmarkEnd w:id="407"/>
      <w:bookmarkEnd w:id="408"/>
      <w:bookmarkEnd w:id="409"/>
      <w:bookmarkEnd w:id="410"/>
    </w:p>
    <w:p w14:paraId="16601F2D">
      <w:pPr>
        <w:jc w:val="both"/>
        <w:rPr>
          <w:b/>
          <w:bCs/>
          <w:sz w:val="32"/>
          <w:szCs w:val="32"/>
        </w:rPr>
      </w:pPr>
      <w:bookmarkStart w:id="416" w:name="_Toc20844"/>
      <w:bookmarkStart w:id="417" w:name="_Toc28961"/>
      <w:bookmarkStart w:id="418" w:name="_Toc28071"/>
      <w:bookmarkStart w:id="419" w:name="_Toc26623"/>
      <w:bookmarkStart w:id="420" w:name="_Toc11594"/>
      <w:bookmarkStart w:id="421" w:name="_Toc2230"/>
      <w:bookmarkStart w:id="422" w:name="_Toc3857"/>
      <w:bookmarkStart w:id="423" w:name="_Toc14262"/>
      <w:bookmarkStart w:id="424" w:name="_Toc30686"/>
      <w:bookmarkStart w:id="425" w:name="_Toc19788"/>
      <w:r>
        <w:rPr>
          <w:rFonts w:hint="eastAsia"/>
          <w:b/>
          <w:bCs/>
          <w:sz w:val="32"/>
          <w:szCs w:val="32"/>
        </w:rPr>
        <w:t>一、响应函格式</w:t>
      </w:r>
      <w:bookmarkEnd w:id="416"/>
      <w:bookmarkEnd w:id="417"/>
      <w:bookmarkEnd w:id="418"/>
      <w:bookmarkEnd w:id="419"/>
      <w:bookmarkEnd w:id="420"/>
      <w:bookmarkEnd w:id="421"/>
      <w:bookmarkEnd w:id="422"/>
      <w:bookmarkEnd w:id="423"/>
      <w:bookmarkEnd w:id="424"/>
      <w:bookmarkEnd w:id="425"/>
    </w:p>
    <w:p w14:paraId="31887CA9">
      <w:pPr>
        <w:pStyle w:val="45"/>
        <w:spacing w:line="240" w:lineRule="auto"/>
        <w:ind w:left="0" w:leftChars="0" w:firstLine="0" w:firstLineChars="0"/>
        <w:jc w:val="center"/>
        <w:rPr>
          <w:rFonts w:ascii="黑体" w:hAnsi="黑体" w:eastAsia="黑体" w:cs="黑体"/>
          <w:color w:val="auto"/>
          <w:sz w:val="32"/>
          <w:szCs w:val="32"/>
        </w:rPr>
      </w:pPr>
      <w:bookmarkStart w:id="426" w:name="_Toc10617"/>
      <w:bookmarkStart w:id="427" w:name="_Toc23334"/>
      <w:bookmarkStart w:id="428" w:name="_Toc22777"/>
      <w:r>
        <w:rPr>
          <w:rFonts w:hint="eastAsia" w:ascii="黑体" w:hAnsi="黑体" w:eastAsia="黑体" w:cs="黑体"/>
          <w:color w:val="auto"/>
          <w:sz w:val="32"/>
          <w:szCs w:val="32"/>
        </w:rPr>
        <w:t>响应函</w:t>
      </w:r>
      <w:bookmarkEnd w:id="426"/>
      <w:bookmarkEnd w:id="427"/>
      <w:bookmarkEnd w:id="428"/>
    </w:p>
    <w:p w14:paraId="578BE3F4">
      <w:pPr>
        <w:pStyle w:val="45"/>
        <w:spacing w:line="500" w:lineRule="exact"/>
        <w:ind w:firstLine="0" w:firstLineChars="0"/>
        <w:rPr>
          <w:rFonts w:ascii="华文仿宋" w:hAnsi="华文仿宋" w:cs="华文仿宋"/>
          <w:color w:val="auto"/>
          <w:lang w:val="zh-CN"/>
        </w:rPr>
      </w:pPr>
      <w:r>
        <w:rPr>
          <w:rFonts w:hint="eastAsia" w:ascii="华文仿宋" w:hAnsi="华文仿宋" w:cs="华文仿宋"/>
          <w:color w:val="auto"/>
        </w:rPr>
        <w:t>陕西省省级单位政府采购中心</w:t>
      </w:r>
      <w:r>
        <w:rPr>
          <w:rFonts w:hint="eastAsia" w:ascii="华文仿宋" w:hAnsi="华文仿宋" w:cs="华文仿宋"/>
          <w:color w:val="auto"/>
          <w:lang w:val="zh-CN"/>
        </w:rPr>
        <w:t>：</w:t>
      </w:r>
    </w:p>
    <w:p w14:paraId="721FE5A7">
      <w:pPr>
        <w:pStyle w:val="45"/>
        <w:spacing w:line="500" w:lineRule="exact"/>
        <w:ind w:firstLine="567"/>
        <w:rPr>
          <w:rFonts w:ascii="仿宋" w:hAnsi="仿宋" w:eastAsia="仿宋" w:cs="仿宋"/>
          <w:color w:val="auto"/>
        </w:rPr>
      </w:pPr>
      <w:r>
        <w:rPr>
          <w:rFonts w:hint="eastAsia" w:ascii="仿宋" w:hAnsi="仿宋" w:eastAsia="仿宋" w:cs="仿宋"/>
          <w:color w:val="auto"/>
        </w:rPr>
        <w:t>我方收到贵中心发布的《</w:t>
      </w:r>
      <w:r>
        <w:rPr>
          <w:rFonts w:hint="eastAsia" w:ascii="仿宋" w:hAnsi="仿宋" w:eastAsia="仿宋" w:cs="仿宋"/>
          <w:color w:val="auto"/>
          <w:u w:val="single"/>
        </w:rPr>
        <w:t>项目名称</w:t>
      </w:r>
      <w:r>
        <w:rPr>
          <w:rFonts w:hint="eastAsia" w:ascii="仿宋" w:hAnsi="仿宋" w:eastAsia="仿宋" w:cs="仿宋"/>
          <w:color w:val="auto"/>
        </w:rPr>
        <w:t>》（项目编号：</w:t>
      </w:r>
      <w:r>
        <w:rPr>
          <w:rFonts w:hint="eastAsia" w:ascii="仿宋" w:hAnsi="仿宋" w:eastAsia="仿宋" w:cs="仿宋"/>
          <w:color w:val="auto"/>
          <w:u w:val="single"/>
        </w:rPr>
        <w:t xml:space="preserve">      </w:t>
      </w:r>
      <w:r>
        <w:rPr>
          <w:rFonts w:hint="eastAsia" w:ascii="仿宋" w:hAnsi="仿宋" w:eastAsia="仿宋" w:cs="仿宋"/>
          <w:color w:val="auto"/>
        </w:rPr>
        <w:t>）第___标段磋商文件，经详细研究，我方决定参加该项目第</w:t>
      </w:r>
      <w:r>
        <w:rPr>
          <w:rFonts w:hint="eastAsia" w:ascii="仿宋" w:hAnsi="仿宋" w:eastAsia="仿宋" w:cs="仿宋"/>
          <w:color w:val="auto"/>
          <w:u w:val="single"/>
        </w:rPr>
        <w:t xml:space="preserve">  </w:t>
      </w:r>
      <w:r>
        <w:rPr>
          <w:rFonts w:hint="eastAsia" w:ascii="仿宋" w:hAnsi="仿宋" w:eastAsia="仿宋" w:cs="仿宋"/>
          <w:color w:val="auto"/>
        </w:rPr>
        <w:t>标段招标活动。为此，我方郑重声明以下诸点，并负法律责任。</w:t>
      </w:r>
    </w:p>
    <w:p w14:paraId="46BB0319">
      <w:pPr>
        <w:pStyle w:val="45"/>
        <w:spacing w:line="500" w:lineRule="exact"/>
        <w:ind w:firstLine="567"/>
        <w:rPr>
          <w:rFonts w:ascii="仿宋" w:hAnsi="仿宋" w:eastAsia="仿宋" w:cs="仿宋"/>
          <w:color w:val="auto"/>
        </w:rPr>
      </w:pPr>
      <w:r>
        <w:rPr>
          <w:rFonts w:hint="eastAsia" w:ascii="仿宋" w:hAnsi="仿宋" w:eastAsia="仿宋" w:cs="仿宋"/>
          <w:color w:val="auto"/>
        </w:rPr>
        <w:t>一、我方已详细阅读了磋商文件，完全理解并同意磋商文件的所有事项及内容。</w:t>
      </w:r>
    </w:p>
    <w:p w14:paraId="1E1D1BE3">
      <w:pPr>
        <w:pStyle w:val="45"/>
        <w:spacing w:line="500" w:lineRule="exact"/>
        <w:ind w:firstLine="567"/>
        <w:rPr>
          <w:rFonts w:ascii="仿宋" w:hAnsi="仿宋" w:eastAsia="仿宋" w:cs="仿宋"/>
          <w:color w:val="auto"/>
        </w:rPr>
      </w:pPr>
      <w:r>
        <w:rPr>
          <w:rFonts w:hint="eastAsia" w:ascii="仿宋" w:hAnsi="仿宋" w:eastAsia="仿宋" w:cs="仿宋"/>
          <w:color w:val="auto"/>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14:paraId="59AC49DA">
      <w:pPr>
        <w:pStyle w:val="45"/>
        <w:spacing w:line="500" w:lineRule="exact"/>
        <w:ind w:firstLine="567"/>
        <w:rPr>
          <w:rFonts w:ascii="仿宋" w:hAnsi="仿宋" w:eastAsia="仿宋" w:cs="仿宋"/>
          <w:color w:val="auto"/>
        </w:rPr>
      </w:pPr>
      <w:r>
        <w:rPr>
          <w:rFonts w:hint="eastAsia" w:ascii="仿宋" w:hAnsi="仿宋" w:eastAsia="仿宋" w:cs="仿宋"/>
          <w:color w:val="auto"/>
        </w:rPr>
        <w:t>三、我方同意向贵方提供与本投标有关的任何证明材料，保证所提交的证明材料真实、合法、有效。我方理解</w:t>
      </w:r>
      <w:r>
        <w:rPr>
          <w:rFonts w:hint="eastAsia" w:ascii="仿宋" w:hAnsi="仿宋" w:eastAsia="仿宋" w:cs="仿宋"/>
          <w:b/>
          <w:bCs/>
          <w:color w:val="auto"/>
        </w:rPr>
        <w:t>最低报价</w:t>
      </w:r>
      <w:r>
        <w:rPr>
          <w:rFonts w:hint="eastAsia" w:ascii="仿宋" w:hAnsi="仿宋" w:eastAsia="仿宋" w:cs="仿宋"/>
          <w:color w:val="auto"/>
        </w:rPr>
        <w:t>不是成交的唯一条件，并尊重磋商小组的评审结果。</w:t>
      </w:r>
    </w:p>
    <w:p w14:paraId="139ECD74">
      <w:pPr>
        <w:pStyle w:val="45"/>
        <w:spacing w:line="500" w:lineRule="exact"/>
        <w:ind w:firstLine="567"/>
        <w:rPr>
          <w:rFonts w:ascii="仿宋" w:hAnsi="仿宋" w:eastAsia="仿宋" w:cs="仿宋"/>
          <w:color w:val="auto"/>
        </w:rPr>
      </w:pPr>
      <w:r>
        <w:rPr>
          <w:rFonts w:hint="eastAsia" w:ascii="仿宋" w:hAnsi="仿宋" w:eastAsia="仿宋" w:cs="仿宋"/>
          <w:color w:val="auto"/>
        </w:rPr>
        <w:t>四、我方愿意按照磋商文件中的一切要求，完成本项目合同责任和义务。</w:t>
      </w:r>
    </w:p>
    <w:p w14:paraId="4E8825F5">
      <w:pPr>
        <w:pStyle w:val="45"/>
        <w:spacing w:line="500" w:lineRule="exact"/>
        <w:ind w:firstLine="567"/>
        <w:rPr>
          <w:rFonts w:ascii="仿宋" w:hAnsi="仿宋" w:eastAsia="仿宋" w:cs="仿宋"/>
          <w:color w:val="auto"/>
        </w:rPr>
      </w:pPr>
      <w:r>
        <w:rPr>
          <w:rFonts w:hint="eastAsia" w:ascii="仿宋" w:hAnsi="仿宋" w:eastAsia="仿宋" w:cs="仿宋"/>
          <w:color w:val="auto"/>
        </w:rPr>
        <w:t>五</w:t>
      </w:r>
      <w:r>
        <w:rPr>
          <w:rFonts w:hint="eastAsia" w:ascii="仿宋" w:hAnsi="仿宋" w:eastAsia="仿宋" w:cs="仿宋"/>
          <w:color w:val="auto"/>
          <w:highlight w:val="none"/>
        </w:rPr>
        <w:t>、</w:t>
      </w:r>
      <w:r>
        <w:rPr>
          <w:rFonts w:hint="eastAsia" w:ascii="仿宋" w:hAnsi="仿宋" w:eastAsia="仿宋" w:cs="仿宋"/>
          <w:color w:val="auto"/>
        </w:rPr>
        <w:t>我方提交的</w:t>
      </w:r>
      <w:r>
        <w:rPr>
          <w:rFonts w:hint="eastAsia" w:ascii="仿宋" w:hAnsi="仿宋" w:eastAsia="仿宋" w:cs="仿宋"/>
          <w:b/>
          <w:color w:val="auto"/>
        </w:rPr>
        <w:t>电子响应文件一份</w:t>
      </w:r>
      <w:r>
        <w:rPr>
          <w:rFonts w:hint="eastAsia" w:ascii="仿宋" w:hAnsi="仿宋" w:eastAsia="仿宋" w:cs="仿宋"/>
          <w:b/>
          <w:bCs/>
          <w:color w:val="auto"/>
        </w:rPr>
        <w:t>。</w:t>
      </w:r>
    </w:p>
    <w:p w14:paraId="0AA7D0ED">
      <w:pPr>
        <w:pStyle w:val="45"/>
        <w:spacing w:line="500" w:lineRule="exact"/>
        <w:ind w:firstLine="567"/>
        <w:rPr>
          <w:rFonts w:ascii="仿宋" w:hAnsi="仿宋" w:eastAsia="仿宋" w:cs="仿宋"/>
          <w:color w:val="auto"/>
        </w:rPr>
      </w:pPr>
      <w:r>
        <w:rPr>
          <w:rFonts w:hint="eastAsia" w:ascii="仿宋" w:hAnsi="仿宋" w:eastAsia="仿宋" w:cs="仿宋"/>
          <w:color w:val="auto"/>
          <w:lang w:val="en-US" w:eastAsia="zh-CN"/>
        </w:rPr>
        <w:t>六</w:t>
      </w:r>
      <w:r>
        <w:rPr>
          <w:rFonts w:hint="eastAsia" w:ascii="仿宋" w:hAnsi="仿宋" w:eastAsia="仿宋" w:cs="仿宋"/>
          <w:color w:val="auto"/>
        </w:rPr>
        <w:t>、供应商在提交响应文件截止时间后撤回响应文件的，我们愿接受政府采购的有关处罚决定。</w:t>
      </w:r>
    </w:p>
    <w:p w14:paraId="0C0BD60C">
      <w:pPr>
        <w:pStyle w:val="45"/>
        <w:spacing w:line="500" w:lineRule="exact"/>
        <w:ind w:firstLine="567"/>
        <w:rPr>
          <w:rFonts w:ascii="华文仿宋" w:hAnsi="华文仿宋" w:cs="华文仿宋"/>
          <w:color w:val="auto"/>
        </w:rPr>
      </w:pPr>
      <w:r>
        <w:rPr>
          <w:rFonts w:hint="eastAsia" w:ascii="仿宋" w:hAnsi="仿宋" w:eastAsia="仿宋" w:cs="仿宋"/>
          <w:color w:val="auto"/>
          <w:lang w:val="en-US" w:eastAsia="zh-CN"/>
        </w:rPr>
        <w:t>七</w:t>
      </w:r>
      <w:r>
        <w:rPr>
          <w:rFonts w:hint="eastAsia" w:ascii="仿宋" w:hAnsi="仿宋" w:eastAsia="仿宋" w:cs="仿宋"/>
          <w:color w:val="auto"/>
        </w:rPr>
        <w:t>、我方的响应文件在开标之日起</w:t>
      </w:r>
      <w:r>
        <w:rPr>
          <w:rFonts w:hint="eastAsia" w:ascii="仿宋" w:hAnsi="仿宋" w:eastAsia="仿宋" w:cs="仿宋"/>
          <w:b/>
          <w:bCs/>
          <w:color w:val="auto"/>
          <w:u w:val="single"/>
        </w:rPr>
        <w:t xml:space="preserve"> 90 </w:t>
      </w:r>
      <w:r>
        <w:rPr>
          <w:rFonts w:hint="eastAsia" w:ascii="仿宋" w:hAnsi="仿宋" w:eastAsia="仿宋" w:cs="仿宋"/>
          <w:color w:val="auto"/>
        </w:rPr>
        <w:t>个日历日内有效，如成交，延长至合同执行完毕时止。</w:t>
      </w:r>
    </w:p>
    <w:p w14:paraId="604AC4D2">
      <w:pPr>
        <w:pStyle w:val="45"/>
        <w:spacing w:line="500" w:lineRule="exact"/>
        <w:ind w:firstLine="567"/>
        <w:rPr>
          <w:rFonts w:ascii="仿宋" w:hAnsi="仿宋" w:eastAsia="仿宋" w:cs="仿宋"/>
          <w:color w:val="auto"/>
        </w:rPr>
      </w:pPr>
      <w:r>
        <w:rPr>
          <w:rFonts w:hint="eastAsia" w:ascii="仿宋" w:hAnsi="仿宋" w:eastAsia="仿宋" w:cs="仿宋"/>
          <w:color w:val="auto"/>
          <w:lang w:val="en-US" w:eastAsia="zh-CN"/>
        </w:rPr>
        <w:t>八</w:t>
      </w:r>
      <w:r>
        <w:rPr>
          <w:rFonts w:hint="eastAsia" w:ascii="仿宋" w:hAnsi="仿宋" w:eastAsia="仿宋" w:cs="仿宋"/>
          <w:color w:val="auto"/>
        </w:rPr>
        <w:t>、所有关于此次招标活动的函电，请按下列地址联系：</w:t>
      </w:r>
    </w:p>
    <w:p w14:paraId="5DA60AE0">
      <w:pPr>
        <w:pStyle w:val="45"/>
        <w:spacing w:line="500" w:lineRule="exact"/>
        <w:ind w:firstLine="567"/>
        <w:rPr>
          <w:rFonts w:ascii="华文仿宋" w:hAnsi="华文仿宋" w:cs="华文仿宋"/>
          <w:color w:val="auto"/>
        </w:rPr>
      </w:pPr>
    </w:p>
    <w:p w14:paraId="4460C0AF">
      <w:pPr>
        <w:pStyle w:val="45"/>
        <w:spacing w:line="500" w:lineRule="exact"/>
        <w:ind w:firstLine="567"/>
        <w:rPr>
          <w:rFonts w:ascii="华文仿宋" w:hAnsi="华文仿宋" w:cs="华文仿宋"/>
          <w:color w:val="auto"/>
        </w:rPr>
      </w:pPr>
      <w:r>
        <w:rPr>
          <w:rFonts w:hint="eastAsia" w:ascii="华文仿宋" w:hAnsi="华文仿宋" w:cs="华文仿宋"/>
          <w:color w:val="auto"/>
        </w:rPr>
        <w:t>供应商：名称（加盖公章）</w:t>
      </w:r>
    </w:p>
    <w:p w14:paraId="4C103547">
      <w:pPr>
        <w:pStyle w:val="45"/>
        <w:spacing w:line="500" w:lineRule="exact"/>
        <w:ind w:firstLine="567"/>
        <w:rPr>
          <w:rFonts w:ascii="华文仿宋" w:hAnsi="华文仿宋" w:cs="华文仿宋"/>
          <w:color w:val="auto"/>
        </w:rPr>
      </w:pPr>
      <w:r>
        <w:rPr>
          <w:rFonts w:hint="eastAsia" w:ascii="华文仿宋" w:hAnsi="华文仿宋" w:cs="华文仿宋"/>
          <w:color w:val="auto"/>
        </w:rPr>
        <w:t>地址：</w:t>
      </w:r>
    </w:p>
    <w:p w14:paraId="7B474751">
      <w:pPr>
        <w:pStyle w:val="45"/>
        <w:spacing w:line="500" w:lineRule="exact"/>
        <w:ind w:firstLine="567"/>
        <w:rPr>
          <w:rFonts w:ascii="华文仿宋" w:hAnsi="华文仿宋" w:cs="华文仿宋"/>
          <w:color w:val="auto"/>
        </w:rPr>
      </w:pPr>
      <w:r>
        <w:rPr>
          <w:rFonts w:hint="eastAsia" w:ascii="华文仿宋" w:hAnsi="华文仿宋" w:cs="华文仿宋"/>
          <w:color w:val="auto"/>
        </w:rPr>
        <w:t>开户银行：</w:t>
      </w:r>
    </w:p>
    <w:p w14:paraId="69F0A84A">
      <w:pPr>
        <w:pStyle w:val="45"/>
        <w:spacing w:line="500" w:lineRule="exact"/>
        <w:ind w:firstLine="567"/>
        <w:rPr>
          <w:rFonts w:ascii="华文仿宋" w:hAnsi="华文仿宋" w:cs="华文仿宋"/>
          <w:color w:val="auto"/>
        </w:rPr>
      </w:pPr>
      <w:r>
        <w:rPr>
          <w:rFonts w:hint="eastAsia" w:ascii="华文仿宋" w:hAnsi="华文仿宋" w:cs="华文仿宋"/>
          <w:color w:val="auto"/>
        </w:rPr>
        <w:t>账号：</w:t>
      </w:r>
    </w:p>
    <w:p w14:paraId="0F35B272">
      <w:pPr>
        <w:pStyle w:val="45"/>
        <w:spacing w:line="500" w:lineRule="exact"/>
        <w:ind w:firstLine="567"/>
        <w:rPr>
          <w:rFonts w:ascii="华文仿宋" w:hAnsi="华文仿宋" w:cs="华文仿宋"/>
          <w:color w:val="auto"/>
        </w:rPr>
      </w:pPr>
      <w:r>
        <w:rPr>
          <w:rFonts w:hint="eastAsia" w:ascii="华文仿宋" w:hAnsi="华文仿宋" w:cs="华文仿宋"/>
          <w:color w:val="auto"/>
        </w:rPr>
        <w:t>电话：</w:t>
      </w:r>
    </w:p>
    <w:p w14:paraId="67C2B8AD">
      <w:pPr>
        <w:pStyle w:val="45"/>
        <w:spacing w:line="500" w:lineRule="exact"/>
        <w:ind w:firstLine="567"/>
        <w:rPr>
          <w:rFonts w:ascii="华文仿宋" w:hAnsi="华文仿宋" w:cs="华文仿宋"/>
          <w:color w:val="auto"/>
        </w:rPr>
      </w:pPr>
      <w:r>
        <w:rPr>
          <w:rFonts w:hint="eastAsia" w:ascii="华文仿宋" w:hAnsi="华文仿宋" w:cs="华文仿宋"/>
          <w:color w:val="auto"/>
        </w:rPr>
        <w:t>传真：</w:t>
      </w:r>
    </w:p>
    <w:p w14:paraId="4D8F0715">
      <w:pPr>
        <w:pStyle w:val="45"/>
        <w:spacing w:line="500" w:lineRule="exact"/>
        <w:ind w:firstLine="567"/>
        <w:rPr>
          <w:rFonts w:ascii="华文仿宋" w:hAnsi="华文仿宋" w:cs="华文仿宋"/>
          <w:color w:val="auto"/>
        </w:rPr>
      </w:pPr>
      <w:r>
        <w:rPr>
          <w:rFonts w:hint="eastAsia" w:ascii="华文仿宋" w:hAnsi="华文仿宋" w:cs="华文仿宋"/>
          <w:color w:val="auto"/>
        </w:rPr>
        <w:t>邮编：</w:t>
      </w:r>
    </w:p>
    <w:p w14:paraId="080276DB">
      <w:pPr>
        <w:pStyle w:val="45"/>
        <w:spacing w:line="500" w:lineRule="exact"/>
        <w:ind w:firstLine="567"/>
        <w:rPr>
          <w:rFonts w:ascii="华文仿宋" w:hAnsi="华文仿宋" w:cs="华文仿宋"/>
          <w:b/>
          <w:bCs/>
          <w:color w:val="auto"/>
        </w:rPr>
      </w:pPr>
      <w:r>
        <w:rPr>
          <w:rFonts w:hint="eastAsia" w:ascii="华文仿宋" w:hAnsi="华文仿宋" w:cs="华文仿宋"/>
          <w:color w:val="auto"/>
        </w:rPr>
        <w:t xml:space="preserve">电子邮箱：           </w:t>
      </w:r>
      <w:r>
        <w:rPr>
          <w:rFonts w:hint="eastAsia" w:ascii="华文仿宋" w:hAnsi="华文仿宋" w:cs="华文仿宋"/>
          <w:b/>
          <w:bCs/>
          <w:color w:val="auto"/>
        </w:rPr>
        <w:t>（专用邮箱）</w:t>
      </w:r>
    </w:p>
    <w:p w14:paraId="5670A9D0">
      <w:pPr>
        <w:pStyle w:val="45"/>
        <w:spacing w:line="500" w:lineRule="exact"/>
        <w:ind w:firstLine="567"/>
        <w:rPr>
          <w:rFonts w:ascii="华文仿宋" w:hAnsi="华文仿宋" w:cs="华文仿宋"/>
          <w:color w:val="auto"/>
        </w:rPr>
      </w:pPr>
      <w:r>
        <w:rPr>
          <w:rFonts w:hint="eastAsia" w:ascii="华文仿宋" w:hAnsi="华文仿宋" w:cs="华文仿宋"/>
          <w:color w:val="auto"/>
        </w:rPr>
        <w:t>日期：　　年　月　日</w:t>
      </w:r>
    </w:p>
    <w:p w14:paraId="5E5EBBA1">
      <w:pPr>
        <w:pStyle w:val="45"/>
        <w:ind w:firstLine="0" w:firstLineChars="0"/>
        <w:rPr>
          <w:rFonts w:ascii="华文仿宋" w:hAnsi="华文仿宋" w:cs="华文仿宋"/>
          <w:color w:val="auto"/>
          <w:sz w:val="36"/>
        </w:rPr>
      </w:pPr>
    </w:p>
    <w:p w14:paraId="2C5D336A">
      <w:pPr>
        <w:pStyle w:val="45"/>
        <w:ind w:firstLine="0" w:firstLineChars="0"/>
        <w:rPr>
          <w:rFonts w:ascii="华文仿宋" w:hAnsi="华文仿宋" w:cs="华文仿宋"/>
          <w:color w:val="auto"/>
          <w:sz w:val="36"/>
        </w:rPr>
      </w:pPr>
    </w:p>
    <w:p w14:paraId="33509DF7">
      <w:pPr>
        <w:pStyle w:val="45"/>
        <w:ind w:firstLine="0" w:firstLineChars="0"/>
        <w:rPr>
          <w:rFonts w:ascii="华文仿宋" w:hAnsi="华文仿宋" w:cs="华文仿宋"/>
          <w:color w:val="auto"/>
          <w:sz w:val="36"/>
        </w:rPr>
      </w:pPr>
    </w:p>
    <w:p w14:paraId="34FB3E96">
      <w:pPr>
        <w:pStyle w:val="45"/>
        <w:ind w:firstLine="0" w:firstLineChars="0"/>
        <w:rPr>
          <w:rFonts w:ascii="华文仿宋" w:hAnsi="华文仿宋" w:cs="华文仿宋"/>
          <w:color w:val="auto"/>
          <w:sz w:val="36"/>
        </w:rPr>
      </w:pPr>
    </w:p>
    <w:p w14:paraId="1E2F738D">
      <w:pPr>
        <w:pStyle w:val="45"/>
        <w:bidi w:val="0"/>
        <w:ind w:left="0" w:leftChars="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备注：1、项目不分标段的，第___标段空白处填写“/”。</w:t>
      </w:r>
    </w:p>
    <w:p w14:paraId="200F3B6E">
      <w:pPr>
        <w:pStyle w:val="45"/>
        <w:bidi w:val="0"/>
        <w:ind w:firstLine="639"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除可填报项目外，对本响应函的任何实质性内容修改将被视为非实质性响应，在评审时将其视为无效响应。</w:t>
      </w:r>
    </w:p>
    <w:p w14:paraId="6F79E202">
      <w:pPr>
        <w:pStyle w:val="45"/>
        <w:numPr>
          <w:ilvl w:val="0"/>
          <w:numId w:val="0"/>
        </w:numPr>
        <w:rPr>
          <w:rFonts w:hint="eastAsia" w:ascii="宋体" w:hAnsi="宋体" w:eastAsia="宋体" w:cs="宋体"/>
          <w:color w:val="auto"/>
          <w:sz w:val="21"/>
          <w:szCs w:val="21"/>
          <w:highlight w:val="none"/>
        </w:rPr>
      </w:pPr>
    </w:p>
    <w:p w14:paraId="70551EC1">
      <w:pPr>
        <w:pStyle w:val="45"/>
        <w:pageBreakBefore w:val="0"/>
        <w:widowControl/>
        <w:kinsoku/>
        <w:wordWrap/>
        <w:overflowPunct/>
        <w:topLinePunct w:val="0"/>
        <w:autoSpaceDE/>
        <w:autoSpaceDN/>
        <w:bidi w:val="0"/>
        <w:adjustRightInd/>
        <w:snapToGrid/>
        <w:ind w:firstLine="0" w:firstLineChars="0"/>
        <w:textAlignment w:val="auto"/>
        <w:outlineLvl w:val="9"/>
        <w:rPr>
          <w:rFonts w:ascii="华文仿宋" w:hAnsi="华文仿宋" w:cs="华文仿宋"/>
          <w:color w:val="auto"/>
          <w:sz w:val="36"/>
        </w:rPr>
      </w:pPr>
    </w:p>
    <w:bookmarkEnd w:id="411"/>
    <w:bookmarkEnd w:id="412"/>
    <w:bookmarkEnd w:id="413"/>
    <w:bookmarkEnd w:id="414"/>
    <w:bookmarkEnd w:id="415"/>
    <w:p w14:paraId="5889A93D">
      <w:pPr>
        <w:pStyle w:val="50"/>
        <w:pageBreakBefore w:val="0"/>
        <w:widowControl/>
        <w:kinsoku/>
        <w:wordWrap/>
        <w:overflowPunct/>
        <w:topLinePunct w:val="0"/>
        <w:autoSpaceDE/>
        <w:autoSpaceDN/>
        <w:bidi w:val="0"/>
        <w:adjustRightInd/>
        <w:snapToGrid/>
        <w:jc w:val="both"/>
        <w:textAlignment w:val="auto"/>
        <w:outlineLvl w:val="9"/>
        <w:rPr>
          <w:rFonts w:hint="eastAsia" w:ascii="仿宋" w:hAnsi="仿宋" w:eastAsia="仿宋" w:cs="仿宋"/>
          <w:bCs w:val="0"/>
          <w:color w:val="auto"/>
        </w:rPr>
      </w:pPr>
      <w:bookmarkStart w:id="429" w:name="_Toc15538"/>
      <w:bookmarkStart w:id="430" w:name="_Toc24876"/>
      <w:bookmarkStart w:id="431" w:name="_Toc23955"/>
      <w:bookmarkStart w:id="432" w:name="_Toc8175"/>
      <w:bookmarkStart w:id="433" w:name="_Toc23660"/>
      <w:bookmarkStart w:id="434" w:name="_Toc15883"/>
      <w:bookmarkStart w:id="435" w:name="_Toc6921"/>
      <w:bookmarkStart w:id="436" w:name="_Toc13841"/>
      <w:bookmarkStart w:id="437" w:name="_Toc31532"/>
      <w:bookmarkStart w:id="438" w:name="_Toc17656_WPSOffice_Level2"/>
    </w:p>
    <w:p w14:paraId="0ECEE2FF">
      <w:pPr>
        <w:pStyle w:val="50"/>
        <w:pageBreakBefore w:val="0"/>
        <w:widowControl/>
        <w:kinsoku/>
        <w:wordWrap/>
        <w:overflowPunct/>
        <w:topLinePunct w:val="0"/>
        <w:autoSpaceDE/>
        <w:autoSpaceDN/>
        <w:bidi w:val="0"/>
        <w:adjustRightInd/>
        <w:snapToGrid/>
        <w:jc w:val="both"/>
        <w:textAlignment w:val="auto"/>
        <w:outlineLvl w:val="9"/>
        <w:rPr>
          <w:rFonts w:hint="eastAsia" w:ascii="仿宋" w:hAnsi="仿宋" w:eastAsia="仿宋" w:cs="仿宋"/>
          <w:bCs w:val="0"/>
          <w:color w:val="auto"/>
        </w:rPr>
      </w:pPr>
    </w:p>
    <w:p w14:paraId="42352A2D">
      <w:pPr>
        <w:pageBreakBefore w:val="0"/>
        <w:widowControl/>
        <w:kinsoku/>
        <w:wordWrap/>
        <w:overflowPunct/>
        <w:topLinePunct w:val="0"/>
        <w:autoSpaceDE/>
        <w:autoSpaceDN/>
        <w:bidi w:val="0"/>
        <w:adjustRightInd/>
        <w:snapToGrid/>
        <w:textAlignment w:val="auto"/>
        <w:outlineLvl w:val="9"/>
        <w:rPr>
          <w:rFonts w:hint="eastAsia"/>
          <w:color w:val="auto"/>
        </w:rPr>
      </w:pPr>
    </w:p>
    <w:p w14:paraId="037A7E1D">
      <w:pPr>
        <w:pageBreakBefore w:val="0"/>
        <w:widowControl/>
        <w:kinsoku/>
        <w:wordWrap/>
        <w:overflowPunct/>
        <w:topLinePunct w:val="0"/>
        <w:autoSpaceDE/>
        <w:autoSpaceDN/>
        <w:bidi w:val="0"/>
        <w:adjustRightInd/>
        <w:snapToGrid/>
        <w:textAlignment w:val="auto"/>
        <w:outlineLvl w:val="9"/>
        <w:rPr>
          <w:rFonts w:hint="eastAsia"/>
          <w:color w:val="auto"/>
        </w:rPr>
      </w:pPr>
    </w:p>
    <w:p w14:paraId="32CBC666">
      <w:pPr>
        <w:pageBreakBefore w:val="0"/>
        <w:widowControl/>
        <w:kinsoku/>
        <w:wordWrap/>
        <w:overflowPunct/>
        <w:topLinePunct w:val="0"/>
        <w:autoSpaceDE/>
        <w:autoSpaceDN/>
        <w:bidi w:val="0"/>
        <w:adjustRightInd/>
        <w:snapToGrid/>
        <w:textAlignment w:val="auto"/>
        <w:outlineLvl w:val="9"/>
        <w:rPr>
          <w:rFonts w:hint="eastAsia"/>
          <w:color w:val="auto"/>
        </w:rPr>
      </w:pPr>
    </w:p>
    <w:p w14:paraId="325BB4D2">
      <w:pPr>
        <w:pageBreakBefore w:val="0"/>
        <w:widowControl/>
        <w:kinsoku/>
        <w:wordWrap/>
        <w:overflowPunct/>
        <w:topLinePunct w:val="0"/>
        <w:autoSpaceDE/>
        <w:autoSpaceDN/>
        <w:bidi w:val="0"/>
        <w:adjustRightInd/>
        <w:snapToGrid/>
        <w:textAlignment w:val="auto"/>
        <w:outlineLvl w:val="9"/>
        <w:rPr>
          <w:rFonts w:hint="eastAsia"/>
          <w:color w:val="auto"/>
        </w:rPr>
      </w:pPr>
    </w:p>
    <w:p w14:paraId="74B4A739">
      <w:pPr>
        <w:pageBreakBefore w:val="0"/>
        <w:widowControl/>
        <w:kinsoku/>
        <w:wordWrap/>
        <w:overflowPunct/>
        <w:topLinePunct w:val="0"/>
        <w:autoSpaceDE/>
        <w:autoSpaceDN/>
        <w:bidi w:val="0"/>
        <w:adjustRightInd/>
        <w:snapToGrid/>
        <w:textAlignment w:val="auto"/>
        <w:outlineLvl w:val="9"/>
        <w:rPr>
          <w:rFonts w:hint="eastAsia"/>
          <w:color w:val="auto"/>
        </w:rPr>
      </w:pPr>
    </w:p>
    <w:p w14:paraId="56FD3E78">
      <w:pPr>
        <w:pageBreakBefore w:val="0"/>
        <w:widowControl/>
        <w:kinsoku/>
        <w:wordWrap/>
        <w:overflowPunct/>
        <w:topLinePunct w:val="0"/>
        <w:autoSpaceDE/>
        <w:autoSpaceDN/>
        <w:bidi w:val="0"/>
        <w:adjustRightInd/>
        <w:snapToGrid/>
        <w:textAlignment w:val="auto"/>
        <w:outlineLvl w:val="9"/>
        <w:rPr>
          <w:rFonts w:hint="eastAsia"/>
          <w:color w:val="auto"/>
        </w:rPr>
      </w:pPr>
    </w:p>
    <w:p w14:paraId="1C9EBDD6">
      <w:pPr>
        <w:pageBreakBefore w:val="0"/>
        <w:widowControl/>
        <w:kinsoku/>
        <w:wordWrap/>
        <w:overflowPunct/>
        <w:topLinePunct w:val="0"/>
        <w:autoSpaceDE/>
        <w:autoSpaceDN/>
        <w:bidi w:val="0"/>
        <w:adjustRightInd/>
        <w:snapToGrid/>
        <w:textAlignment w:val="auto"/>
        <w:outlineLvl w:val="9"/>
        <w:rPr>
          <w:rFonts w:hint="eastAsia"/>
          <w:color w:val="auto"/>
        </w:rPr>
      </w:pPr>
    </w:p>
    <w:p w14:paraId="0C95EAA8">
      <w:pPr>
        <w:pageBreakBefore w:val="0"/>
        <w:widowControl/>
        <w:kinsoku/>
        <w:wordWrap/>
        <w:overflowPunct/>
        <w:topLinePunct w:val="0"/>
        <w:autoSpaceDE/>
        <w:autoSpaceDN/>
        <w:bidi w:val="0"/>
        <w:adjustRightInd/>
        <w:snapToGrid/>
        <w:textAlignment w:val="auto"/>
        <w:outlineLvl w:val="9"/>
        <w:rPr>
          <w:rFonts w:hint="eastAsia"/>
          <w:color w:val="auto"/>
        </w:rPr>
      </w:pPr>
      <w:r>
        <w:rPr>
          <w:rFonts w:hint="eastAsia"/>
          <w:color w:val="auto"/>
        </w:rPr>
        <w:br w:type="page"/>
      </w:r>
    </w:p>
    <w:p w14:paraId="3DF117D7">
      <w:pPr>
        <w:jc w:val="both"/>
        <w:rPr>
          <w:rFonts w:hint="eastAsia"/>
          <w:b/>
          <w:bCs/>
          <w:sz w:val="32"/>
          <w:szCs w:val="32"/>
        </w:rPr>
      </w:pPr>
      <w:bookmarkStart w:id="439" w:name="_Toc12329"/>
      <w:r>
        <w:rPr>
          <w:rFonts w:hint="eastAsia"/>
          <w:b/>
          <w:bCs/>
          <w:sz w:val="32"/>
          <w:szCs w:val="32"/>
        </w:rPr>
        <w:t>二、第一次磋商报价表</w:t>
      </w:r>
      <w:bookmarkEnd w:id="429"/>
      <w:bookmarkEnd w:id="430"/>
      <w:bookmarkEnd w:id="431"/>
      <w:bookmarkEnd w:id="432"/>
      <w:bookmarkEnd w:id="433"/>
      <w:bookmarkEnd w:id="434"/>
      <w:bookmarkEnd w:id="435"/>
      <w:bookmarkEnd w:id="436"/>
      <w:bookmarkEnd w:id="437"/>
      <w:bookmarkEnd w:id="439"/>
    </w:p>
    <w:p w14:paraId="7F71B72A">
      <w:pPr>
        <w:keepNext w:val="0"/>
        <w:keepLines w:val="0"/>
        <w:pageBreakBefore w:val="0"/>
        <w:widowControl/>
        <w:kinsoku/>
        <w:wordWrap/>
        <w:overflowPunct/>
        <w:topLinePunct w:val="0"/>
        <w:autoSpaceDE/>
        <w:autoSpaceDN/>
        <w:bidi w:val="0"/>
        <w:adjustRightInd/>
        <w:snapToGrid/>
        <w:spacing w:line="500" w:lineRule="exact"/>
        <w:textAlignment w:val="auto"/>
        <w:rPr>
          <w:color w:val="auto"/>
        </w:rPr>
      </w:pPr>
      <w:r>
        <w:rPr>
          <w:rFonts w:hint="eastAsia"/>
          <w:color w:val="auto"/>
        </w:rPr>
        <w:t>项目名称：</w:t>
      </w:r>
    </w:p>
    <w:p w14:paraId="6186A110">
      <w:pPr>
        <w:keepNext w:val="0"/>
        <w:keepLines w:val="0"/>
        <w:pageBreakBefore w:val="0"/>
        <w:widowControl/>
        <w:kinsoku/>
        <w:wordWrap/>
        <w:overflowPunct/>
        <w:topLinePunct w:val="0"/>
        <w:autoSpaceDE/>
        <w:autoSpaceDN/>
        <w:bidi w:val="0"/>
        <w:adjustRightInd/>
        <w:snapToGrid/>
        <w:spacing w:line="500" w:lineRule="exact"/>
        <w:textAlignment w:val="auto"/>
        <w:rPr>
          <w:color w:val="auto"/>
        </w:rPr>
      </w:pPr>
      <w:r>
        <w:rPr>
          <w:rFonts w:hint="eastAsia"/>
          <w:color w:val="auto"/>
        </w:rPr>
        <w:t>项目编号：</w:t>
      </w:r>
    </w:p>
    <w:p w14:paraId="2E595D83">
      <w:pPr>
        <w:pStyle w:val="21"/>
        <w:wordWrap w:val="0"/>
        <w:spacing w:beforeAutospacing="0" w:afterAutospacing="0" w:line="500" w:lineRule="exact"/>
        <w:rPr>
          <w:rFonts w:ascii="仿宋" w:hAnsi="仿宋" w:eastAsia="仿宋" w:cs="仿宋"/>
          <w:color w:val="auto"/>
          <w:sz w:val="28"/>
          <w:shd w:val="clear" w:color="auto" w:fill="FFFFFF"/>
        </w:rPr>
      </w:pPr>
    </w:p>
    <w:p w14:paraId="500154B7">
      <w:pPr>
        <w:spacing w:line="440" w:lineRule="exact"/>
        <w:ind w:right="560"/>
        <w:jc w:val="right"/>
        <w:rPr>
          <w:rFonts w:ascii="仿宋" w:hAnsi="仿宋" w:eastAsia="仿宋"/>
          <w:color w:val="auto"/>
          <w:sz w:val="24"/>
          <w:szCs w:val="24"/>
        </w:rPr>
      </w:pPr>
    </w:p>
    <w:tbl>
      <w:tblPr>
        <w:tblStyle w:val="2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43"/>
        <w:gridCol w:w="6410"/>
      </w:tblGrid>
      <w:tr w14:paraId="20AE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943" w:type="dxa"/>
            <w:vAlign w:val="center"/>
          </w:tcPr>
          <w:p w14:paraId="2195D8EC">
            <w:pPr>
              <w:pStyle w:val="9"/>
              <w:spacing w:line="360" w:lineRule="auto"/>
              <w:ind w:firstLine="0"/>
              <w:jc w:val="center"/>
              <w:rPr>
                <w:rFonts w:ascii="宋体" w:hAnsi="宋体" w:cs="宋体"/>
                <w:color w:val="auto"/>
                <w:szCs w:val="24"/>
              </w:rPr>
            </w:pPr>
          </w:p>
        </w:tc>
        <w:tc>
          <w:tcPr>
            <w:tcW w:w="6410" w:type="dxa"/>
            <w:vAlign w:val="center"/>
          </w:tcPr>
          <w:p w14:paraId="577E32CB">
            <w:pPr>
              <w:spacing w:line="440" w:lineRule="exact"/>
              <w:jc w:val="center"/>
              <w:rPr>
                <w:rFonts w:ascii="宋体" w:hAnsi="宋体" w:cs="宋体"/>
                <w:color w:val="auto"/>
                <w:szCs w:val="24"/>
              </w:rPr>
            </w:pPr>
            <w:r>
              <w:rPr>
                <w:rFonts w:hint="eastAsia" w:ascii="宋体" w:hAnsi="宋体" w:cs="宋体"/>
                <w:color w:val="auto"/>
                <w:szCs w:val="24"/>
              </w:rPr>
              <w:t>内容</w:t>
            </w:r>
          </w:p>
        </w:tc>
      </w:tr>
      <w:tr w14:paraId="5AD3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1943" w:type="dxa"/>
            <w:vAlign w:val="center"/>
          </w:tcPr>
          <w:p w14:paraId="2B8B77DD">
            <w:pPr>
              <w:pStyle w:val="9"/>
              <w:spacing w:line="360" w:lineRule="auto"/>
              <w:ind w:firstLine="0"/>
              <w:jc w:val="center"/>
              <w:rPr>
                <w:rFonts w:ascii="宋体" w:hAnsi="宋体" w:cs="宋体"/>
                <w:color w:val="auto"/>
                <w:szCs w:val="24"/>
              </w:rPr>
            </w:pPr>
            <w:r>
              <w:rPr>
                <w:rFonts w:hint="eastAsia" w:ascii="宋体" w:hAnsi="宋体" w:cs="宋体"/>
                <w:color w:val="auto"/>
                <w:szCs w:val="24"/>
              </w:rPr>
              <w:t>磋商报价</w:t>
            </w:r>
          </w:p>
        </w:tc>
        <w:tc>
          <w:tcPr>
            <w:tcW w:w="6410" w:type="dxa"/>
            <w:vAlign w:val="center"/>
          </w:tcPr>
          <w:p w14:paraId="57FC8FC2">
            <w:pPr>
              <w:autoSpaceDE w:val="0"/>
              <w:autoSpaceDN w:val="0"/>
              <w:spacing w:line="360" w:lineRule="auto"/>
              <w:rPr>
                <w:rFonts w:ascii="宋体" w:hAnsi="宋体" w:cs="宋体"/>
                <w:color w:val="auto"/>
                <w:kern w:val="0"/>
                <w:szCs w:val="24"/>
                <w:lang w:val="zh-CN"/>
              </w:rPr>
            </w:pPr>
            <w:r>
              <w:rPr>
                <w:rFonts w:hint="eastAsia" w:ascii="宋体" w:hAnsi="宋体" w:cs="宋体"/>
                <w:color w:val="auto"/>
                <w:kern w:val="0"/>
                <w:szCs w:val="24"/>
                <w:lang w:val="zh-CN"/>
              </w:rPr>
              <w:t>小写：</w:t>
            </w:r>
          </w:p>
          <w:p w14:paraId="4B1FF3B3">
            <w:pPr>
              <w:pStyle w:val="16"/>
              <w:rPr>
                <w:rFonts w:ascii="宋体" w:hAnsi="宋体" w:cs="宋体"/>
                <w:color w:val="auto"/>
                <w:kern w:val="0"/>
                <w:szCs w:val="24"/>
                <w:lang w:val="zh-CN"/>
              </w:rPr>
            </w:pPr>
          </w:p>
          <w:p w14:paraId="5CB5E271">
            <w:pPr>
              <w:autoSpaceDE w:val="0"/>
              <w:autoSpaceDN w:val="0"/>
              <w:spacing w:line="360" w:lineRule="auto"/>
              <w:rPr>
                <w:rFonts w:ascii="宋体" w:hAnsi="宋体" w:cs="宋体"/>
                <w:color w:val="auto"/>
                <w:kern w:val="0"/>
                <w:szCs w:val="24"/>
              </w:rPr>
            </w:pPr>
            <w:r>
              <w:rPr>
                <w:rFonts w:hint="eastAsia" w:ascii="宋体" w:hAnsi="宋体" w:cs="宋体"/>
                <w:color w:val="auto"/>
                <w:kern w:val="0"/>
                <w:szCs w:val="24"/>
              </w:rPr>
              <w:t>大写：</w:t>
            </w:r>
          </w:p>
          <w:p w14:paraId="166209C1">
            <w:pPr>
              <w:autoSpaceDE w:val="0"/>
              <w:autoSpaceDN w:val="0"/>
              <w:spacing w:line="360" w:lineRule="auto"/>
              <w:rPr>
                <w:color w:val="auto"/>
              </w:rPr>
            </w:pPr>
            <w:r>
              <w:rPr>
                <w:rFonts w:hint="eastAsia" w:ascii="仿宋" w:hAnsi="仿宋" w:eastAsia="仿宋"/>
                <w:color w:val="auto"/>
                <w:sz w:val="24"/>
                <w:szCs w:val="24"/>
              </w:rPr>
              <w:t xml:space="preserve">           </w:t>
            </w:r>
            <w:r>
              <w:rPr>
                <w:rFonts w:hint="eastAsia" w:ascii="仿宋" w:hAnsi="仿宋" w:eastAsia="仿宋"/>
                <w:color w:val="auto"/>
                <w:sz w:val="24"/>
                <w:szCs w:val="24"/>
                <w:lang w:val="en-US" w:eastAsia="zh-CN"/>
              </w:rPr>
              <w:t xml:space="preserve">             </w:t>
            </w:r>
            <w:r>
              <w:rPr>
                <w:rFonts w:ascii="仿宋" w:hAnsi="仿宋" w:eastAsia="仿宋"/>
                <w:color w:val="auto"/>
                <w:sz w:val="24"/>
                <w:szCs w:val="24"/>
              </w:rPr>
              <w:t>单位：元（</w:t>
            </w:r>
            <w:r>
              <w:rPr>
                <w:rFonts w:hint="eastAsia" w:ascii="仿宋" w:hAnsi="仿宋" w:eastAsia="仿宋"/>
                <w:color w:val="auto"/>
                <w:sz w:val="24"/>
                <w:szCs w:val="24"/>
              </w:rPr>
              <w:t>保留到元</w:t>
            </w:r>
            <w:r>
              <w:rPr>
                <w:rFonts w:ascii="仿宋" w:hAnsi="仿宋" w:eastAsia="仿宋"/>
                <w:color w:val="auto"/>
                <w:sz w:val="24"/>
                <w:szCs w:val="24"/>
              </w:rPr>
              <w:t>）</w:t>
            </w:r>
          </w:p>
        </w:tc>
      </w:tr>
    </w:tbl>
    <w:p w14:paraId="2E0D6914">
      <w:pPr>
        <w:autoSpaceDE w:val="0"/>
        <w:autoSpaceDN w:val="0"/>
        <w:spacing w:line="240" w:lineRule="auto"/>
        <w:ind w:firstLine="48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备注</w:t>
      </w:r>
      <w:r>
        <w:rPr>
          <w:rFonts w:hint="eastAsia" w:ascii="宋体" w:hAnsi="宋体" w:eastAsia="宋体" w:cs="宋体"/>
          <w:color w:val="auto"/>
          <w:kern w:val="0"/>
          <w:sz w:val="21"/>
          <w:szCs w:val="21"/>
          <w:lang w:val="zh-CN"/>
        </w:rPr>
        <w:t>： “磋商报价”为磋商总价。磋商</w:t>
      </w:r>
      <w:r>
        <w:rPr>
          <w:rFonts w:ascii="宋体" w:hAnsi="宋体" w:eastAsia="宋体" w:cs="宋体"/>
          <w:color w:val="auto"/>
          <w:kern w:val="0"/>
          <w:sz w:val="21"/>
          <w:szCs w:val="21"/>
          <w:lang w:val="zh-CN"/>
        </w:rPr>
        <w:t>报价必须包括</w:t>
      </w:r>
      <w:r>
        <w:rPr>
          <w:rFonts w:hint="eastAsia" w:ascii="宋体" w:hAnsi="宋体" w:eastAsia="宋体" w:cs="宋体"/>
          <w:color w:val="auto"/>
          <w:kern w:val="0"/>
          <w:sz w:val="21"/>
          <w:szCs w:val="21"/>
          <w:lang w:val="zh-CN"/>
        </w:rPr>
        <w:t>本项目所需</w:t>
      </w:r>
      <w:r>
        <w:rPr>
          <w:rFonts w:ascii="宋体" w:hAnsi="宋体" w:eastAsia="宋体" w:cs="宋体"/>
          <w:color w:val="auto"/>
          <w:kern w:val="0"/>
          <w:sz w:val="21"/>
          <w:szCs w:val="21"/>
          <w:lang w:val="zh-CN"/>
        </w:rPr>
        <w:t>全部费用</w:t>
      </w:r>
      <w:r>
        <w:rPr>
          <w:rFonts w:hint="eastAsia" w:ascii="宋体" w:hAnsi="宋体" w:eastAsia="宋体" w:cs="宋体"/>
          <w:color w:val="auto"/>
          <w:kern w:val="0"/>
          <w:sz w:val="21"/>
          <w:szCs w:val="21"/>
          <w:lang w:val="zh-CN"/>
        </w:rPr>
        <w:t>。</w:t>
      </w:r>
    </w:p>
    <w:p w14:paraId="1AC2FBBB">
      <w:pPr>
        <w:spacing w:line="440" w:lineRule="exact"/>
        <w:ind w:right="560"/>
        <w:jc w:val="right"/>
        <w:rPr>
          <w:rFonts w:ascii="仿宋" w:hAnsi="仿宋" w:eastAsia="仿宋"/>
          <w:color w:val="auto"/>
          <w:sz w:val="24"/>
          <w:szCs w:val="24"/>
        </w:rPr>
      </w:pPr>
    </w:p>
    <w:p w14:paraId="0660F54E">
      <w:pPr>
        <w:spacing w:line="500" w:lineRule="exact"/>
        <w:ind w:firstLine="4528" w:firstLineChars="1600"/>
        <w:rPr>
          <w:rFonts w:ascii="仿宋" w:hAnsi="仿宋" w:eastAsia="仿宋" w:cs="仿宋"/>
          <w:color w:val="auto"/>
        </w:rPr>
      </w:pPr>
      <w:r>
        <w:rPr>
          <w:rFonts w:hint="eastAsia" w:ascii="仿宋" w:hAnsi="仿宋" w:eastAsia="仿宋" w:cs="仿宋"/>
          <w:color w:val="auto"/>
        </w:rPr>
        <w:t>供应商：</w:t>
      </w:r>
      <w:r>
        <w:rPr>
          <w:rFonts w:hint="eastAsia" w:ascii="仿宋" w:hAnsi="仿宋" w:eastAsia="仿宋" w:cs="仿宋"/>
          <w:color w:val="auto"/>
          <w:u w:val="single"/>
        </w:rPr>
        <w:t>名称</w:t>
      </w:r>
      <w:r>
        <w:rPr>
          <w:rFonts w:hint="eastAsia" w:ascii="仿宋" w:hAnsi="仿宋" w:eastAsia="仿宋" w:cs="仿宋"/>
          <w:color w:val="auto"/>
        </w:rPr>
        <w:t>（加盖公章）</w:t>
      </w:r>
    </w:p>
    <w:p w14:paraId="17B46620">
      <w:pPr>
        <w:spacing w:line="500" w:lineRule="exact"/>
        <w:ind w:firstLine="4811" w:firstLineChars="1700"/>
        <w:rPr>
          <w:rFonts w:ascii="华文仿宋" w:hAnsi="华文仿宋" w:cs="华文仿宋"/>
          <w:color w:val="auto"/>
        </w:rPr>
      </w:pPr>
      <w:r>
        <w:rPr>
          <w:rFonts w:hint="eastAsia" w:ascii="仿宋" w:hAnsi="仿宋" w:eastAsia="仿宋" w:cs="仿宋"/>
          <w:color w:val="auto"/>
        </w:rPr>
        <w:t>日期：　　年　月　日</w:t>
      </w:r>
      <w:r>
        <w:rPr>
          <w:rFonts w:hint="eastAsia" w:ascii="仿宋" w:hAnsi="仿宋" w:eastAsia="仿宋"/>
          <w:color w:val="auto"/>
        </w:rPr>
        <w:t xml:space="preserve">     </w:t>
      </w:r>
      <w:bookmarkEnd w:id="438"/>
    </w:p>
    <w:p w14:paraId="6E9C6D7F">
      <w:pPr>
        <w:autoSpaceDE w:val="0"/>
        <w:autoSpaceDN w:val="0"/>
        <w:spacing w:line="240" w:lineRule="auto"/>
        <w:ind w:firstLine="480"/>
        <w:rPr>
          <w:rFonts w:ascii="宋体" w:hAnsi="宋体" w:eastAsia="宋体" w:cs="宋体"/>
          <w:b/>
          <w:bCs/>
          <w:color w:val="auto"/>
          <w:kern w:val="0"/>
          <w:sz w:val="21"/>
          <w:szCs w:val="21"/>
        </w:rPr>
      </w:pPr>
    </w:p>
    <w:p w14:paraId="5D002CFE">
      <w:pPr>
        <w:spacing w:beforeLines="50" w:afterLines="50" w:line="500" w:lineRule="exact"/>
        <w:jc w:val="center"/>
        <w:rPr>
          <w:rFonts w:hint="eastAsia" w:ascii="华文仿宋" w:hAnsi="华文仿宋" w:cs="华文仿宋"/>
          <w:b/>
          <w:color w:val="000000" w:themeColor="text1"/>
          <w14:textFill>
            <w14:solidFill>
              <w14:schemeClr w14:val="tx1"/>
            </w14:solidFill>
          </w14:textFill>
        </w:rPr>
      </w:pPr>
    </w:p>
    <w:p w14:paraId="6E3B5E3B">
      <w:pPr>
        <w:spacing w:beforeLines="50" w:afterLines="50" w:line="500" w:lineRule="exact"/>
        <w:jc w:val="center"/>
        <w:rPr>
          <w:rFonts w:hint="eastAsia" w:ascii="华文仿宋" w:hAnsi="华文仿宋" w:cs="华文仿宋"/>
          <w:b/>
          <w:color w:val="000000" w:themeColor="text1"/>
          <w14:textFill>
            <w14:solidFill>
              <w14:schemeClr w14:val="tx1"/>
            </w14:solidFill>
          </w14:textFill>
        </w:rPr>
      </w:pPr>
    </w:p>
    <w:p w14:paraId="29CB75C1">
      <w:pPr>
        <w:spacing w:beforeLines="50" w:afterLines="50" w:line="500" w:lineRule="exact"/>
        <w:jc w:val="center"/>
        <w:rPr>
          <w:rFonts w:hint="eastAsia" w:ascii="华文仿宋" w:hAnsi="华文仿宋" w:cs="华文仿宋"/>
          <w:b/>
          <w:color w:val="000000" w:themeColor="text1"/>
          <w14:textFill>
            <w14:solidFill>
              <w14:schemeClr w14:val="tx1"/>
            </w14:solidFill>
          </w14:textFill>
        </w:rPr>
      </w:pPr>
    </w:p>
    <w:p w14:paraId="402F8344">
      <w:pPr>
        <w:spacing w:beforeLines="50" w:afterLines="50" w:line="500" w:lineRule="exact"/>
        <w:jc w:val="center"/>
        <w:rPr>
          <w:rFonts w:hint="eastAsia" w:ascii="华文仿宋" w:hAnsi="华文仿宋" w:cs="华文仿宋"/>
          <w:b/>
          <w:color w:val="000000" w:themeColor="text1"/>
          <w14:textFill>
            <w14:solidFill>
              <w14:schemeClr w14:val="tx1"/>
            </w14:solidFill>
          </w14:textFill>
        </w:rPr>
      </w:pPr>
    </w:p>
    <w:p w14:paraId="4C7B9A47">
      <w:pPr>
        <w:spacing w:beforeLines="50" w:afterLines="50" w:line="500" w:lineRule="exact"/>
        <w:jc w:val="center"/>
        <w:rPr>
          <w:rFonts w:hint="eastAsia" w:ascii="华文仿宋" w:hAnsi="华文仿宋" w:cs="华文仿宋"/>
          <w:b/>
          <w:color w:val="000000" w:themeColor="text1"/>
          <w14:textFill>
            <w14:solidFill>
              <w14:schemeClr w14:val="tx1"/>
            </w14:solidFill>
          </w14:textFill>
        </w:rPr>
      </w:pPr>
    </w:p>
    <w:p w14:paraId="2C833F8E">
      <w:pPr>
        <w:spacing w:beforeLines="-2147483648" w:afterLines="-2147483648" w:line="240" w:lineRule="auto"/>
        <w:jc w:val="center"/>
        <w:rPr>
          <w:rFonts w:hint="eastAsia" w:ascii="华文仿宋" w:hAnsi="华文仿宋" w:cs="华文仿宋"/>
          <w:b/>
          <w:color w:val="000000" w:themeColor="text1"/>
          <w14:textFill>
            <w14:solidFill>
              <w14:schemeClr w14:val="tx1"/>
            </w14:solidFill>
          </w14:textFill>
        </w:rPr>
      </w:pPr>
    </w:p>
    <w:p w14:paraId="3C7E9B17">
      <w:pPr>
        <w:spacing w:beforeLines="-2147483648" w:afterLines="-2147483648" w:line="240" w:lineRule="auto"/>
        <w:jc w:val="left"/>
        <w:rPr>
          <w:rFonts w:hint="eastAsia" w:ascii="华文仿宋" w:hAnsi="华文仿宋" w:cs="华文仿宋"/>
          <w:b/>
          <w:color w:val="000000" w:themeColor="text1"/>
          <w14:textFill>
            <w14:solidFill>
              <w14:schemeClr w14:val="tx1"/>
            </w14:solidFill>
          </w14:textFill>
        </w:rPr>
        <w:sectPr>
          <w:footerReference r:id="rId15" w:type="default"/>
          <w:pgSz w:w="11906" w:h="16838"/>
          <w:pgMar w:top="1417" w:right="1417" w:bottom="1417" w:left="1417" w:header="850" w:footer="992" w:gutter="0"/>
          <w:pgNumType w:fmt="decimal"/>
          <w:cols w:space="720" w:num="1"/>
          <w:docGrid w:type="linesAndChars" w:linePitch="381" w:charSpace="704"/>
        </w:sectPr>
      </w:pPr>
      <w:r>
        <w:rPr>
          <w:rFonts w:hint="eastAsia" w:ascii="华文仿宋" w:hAnsi="华文仿宋" w:cs="华文仿宋"/>
          <w:b/>
          <w:color w:val="000000" w:themeColor="text1"/>
          <w14:textFill>
            <w14:solidFill>
              <w14:schemeClr w14:val="tx1"/>
            </w14:solidFill>
          </w14:textFill>
        </w:rPr>
        <w:br w:type="page"/>
      </w:r>
    </w:p>
    <w:p w14:paraId="1D325732">
      <w:pPr>
        <w:spacing w:beforeLines="-2147483648" w:afterLines="-2147483648" w:line="240" w:lineRule="auto"/>
        <w:jc w:val="center"/>
        <w:rPr>
          <w:rFonts w:hint="eastAsia" w:ascii="华文仿宋" w:hAnsi="华文仿宋" w:cs="华文仿宋"/>
          <w:b/>
          <w:color w:val="000000" w:themeColor="text1"/>
          <w:lang w:eastAsia="zh-CN"/>
          <w14:textFill>
            <w14:solidFill>
              <w14:schemeClr w14:val="tx1"/>
            </w14:solidFill>
          </w14:textFill>
        </w:rPr>
      </w:pPr>
      <w:r>
        <w:rPr>
          <w:rFonts w:hint="eastAsia" w:ascii="华文仿宋" w:hAnsi="华文仿宋" w:cs="华文仿宋"/>
          <w:b/>
          <w:color w:val="000000" w:themeColor="text1"/>
          <w14:textFill>
            <w14:solidFill>
              <w14:schemeClr w14:val="tx1"/>
            </w14:solidFill>
          </w14:textFill>
        </w:rPr>
        <w:t>分项报价表</w:t>
      </w:r>
      <w:r>
        <w:rPr>
          <w:rFonts w:hint="eastAsia" w:ascii="华文仿宋" w:hAnsi="华文仿宋" w:cs="华文仿宋"/>
          <w:b/>
          <w:color w:val="000000" w:themeColor="text1"/>
          <w:lang w:eastAsia="zh-CN"/>
          <w14:textFill>
            <w14:solidFill>
              <w14:schemeClr w14:val="tx1"/>
            </w14:solidFill>
          </w14:textFill>
        </w:rPr>
        <w:t>（</w:t>
      </w:r>
      <w:r>
        <w:rPr>
          <w:rFonts w:hint="eastAsia" w:ascii="华文仿宋" w:hAnsi="华文仿宋" w:cs="华文仿宋"/>
          <w:b/>
          <w:color w:val="000000" w:themeColor="text1"/>
          <w:lang w:val="en-US" w:eastAsia="zh-CN"/>
          <w14:textFill>
            <w14:solidFill>
              <w14:schemeClr w14:val="tx1"/>
            </w14:solidFill>
          </w14:textFill>
        </w:rPr>
        <w:t>仅供参考</w:t>
      </w:r>
      <w:r>
        <w:rPr>
          <w:rFonts w:hint="eastAsia" w:ascii="华文仿宋" w:hAnsi="华文仿宋" w:cs="华文仿宋"/>
          <w:b/>
          <w:color w:val="000000" w:themeColor="text1"/>
          <w:lang w:eastAsia="zh-CN"/>
          <w14:textFill>
            <w14:solidFill>
              <w14:schemeClr w14:val="tx1"/>
            </w14:solidFill>
          </w14:textFill>
        </w:rPr>
        <w:t>）</w:t>
      </w:r>
    </w:p>
    <w:p w14:paraId="69776A21">
      <w:pPr>
        <w:spacing w:beforeLines="-2147483648" w:afterLines="-2147483648" w:line="240" w:lineRule="auto"/>
        <w:jc w:val="center"/>
        <w:rPr>
          <w:rFonts w:hint="default" w:ascii="华文仿宋" w:hAnsi="华文仿宋" w:eastAsia="华文仿宋" w:cs="华文仿宋"/>
          <w:b/>
          <w:color w:val="000000" w:themeColor="text1"/>
          <w:lang w:val="en-US" w:eastAsia="zh-CN"/>
          <w14:textFill>
            <w14:solidFill>
              <w14:schemeClr w14:val="tx1"/>
            </w14:solidFill>
          </w14:textFill>
        </w:rPr>
      </w:pPr>
    </w:p>
    <w:tbl>
      <w:tblPr>
        <w:tblStyle w:val="23"/>
        <w:tblW w:w="12185" w:type="dxa"/>
        <w:jc w:val="center"/>
        <w:tblLayout w:type="fixed"/>
        <w:tblCellMar>
          <w:top w:w="0" w:type="dxa"/>
          <w:left w:w="28" w:type="dxa"/>
          <w:bottom w:w="0" w:type="dxa"/>
          <w:right w:w="28" w:type="dxa"/>
        </w:tblCellMar>
      </w:tblPr>
      <w:tblGrid>
        <w:gridCol w:w="1535"/>
        <w:gridCol w:w="2384"/>
        <w:gridCol w:w="1227"/>
        <w:gridCol w:w="1237"/>
        <w:gridCol w:w="1172"/>
        <w:gridCol w:w="1086"/>
        <w:gridCol w:w="1294"/>
        <w:gridCol w:w="2250"/>
      </w:tblGrid>
      <w:tr w14:paraId="263DAC1B">
        <w:tblPrEx>
          <w:tblCellMar>
            <w:top w:w="0" w:type="dxa"/>
            <w:left w:w="28" w:type="dxa"/>
            <w:bottom w:w="0" w:type="dxa"/>
            <w:right w:w="28" w:type="dxa"/>
          </w:tblCellMar>
        </w:tblPrEx>
        <w:trPr>
          <w:trHeight w:val="1218" w:hRule="atLeast"/>
          <w:jc w:val="center"/>
        </w:trPr>
        <w:tc>
          <w:tcPr>
            <w:tcW w:w="1535" w:type="dxa"/>
            <w:tcBorders>
              <w:top w:val="single" w:color="000000" w:sz="8" w:space="0"/>
              <w:left w:val="single" w:color="000000" w:sz="8" w:space="0"/>
              <w:bottom w:val="single" w:color="000000" w:sz="6" w:space="0"/>
              <w:right w:val="single" w:color="000000" w:sz="6" w:space="0"/>
            </w:tcBorders>
            <w:vAlign w:val="center"/>
          </w:tcPr>
          <w:p w14:paraId="2EFD2864">
            <w:pPr>
              <w:autoSpaceDE w:val="0"/>
              <w:autoSpaceDN w:val="0"/>
              <w:spacing w:line="240" w:lineRule="auto"/>
              <w:jc w:val="center"/>
              <w:rPr>
                <w:rFonts w:ascii="宋体" w:hAnsi="宋体" w:eastAsia="宋体" w:cs="宋体"/>
                <w:b/>
                <w:bCs/>
                <w:color w:val="000000" w:themeColor="text1"/>
                <w:kern w:val="0"/>
                <w:sz w:val="21"/>
                <w:szCs w:val="21"/>
                <w:lang w:val="zh-CN"/>
                <w14:textFill>
                  <w14:solidFill>
                    <w14:schemeClr w14:val="tx1"/>
                  </w14:solidFill>
                </w14:textFill>
              </w:rPr>
            </w:pPr>
            <w:r>
              <w:rPr>
                <w:rFonts w:hint="eastAsia" w:ascii="宋体" w:hAnsi="宋体" w:eastAsia="宋体" w:cs="宋体"/>
                <w:b/>
                <w:bCs/>
                <w:color w:val="000000" w:themeColor="text1"/>
                <w:kern w:val="0"/>
                <w:sz w:val="21"/>
                <w:szCs w:val="21"/>
                <w:lang w:val="zh-CN"/>
                <w14:textFill>
                  <w14:solidFill>
                    <w14:schemeClr w14:val="tx1"/>
                  </w14:solidFill>
                </w14:textFill>
              </w:rPr>
              <w:t>序号</w:t>
            </w:r>
          </w:p>
        </w:tc>
        <w:tc>
          <w:tcPr>
            <w:tcW w:w="2384" w:type="dxa"/>
            <w:tcBorders>
              <w:top w:val="single" w:color="000000" w:sz="8" w:space="0"/>
              <w:left w:val="single" w:color="000000" w:sz="6" w:space="0"/>
              <w:bottom w:val="single" w:color="000000" w:sz="6" w:space="0"/>
              <w:right w:val="single" w:color="000000" w:sz="6" w:space="0"/>
            </w:tcBorders>
            <w:vAlign w:val="center"/>
          </w:tcPr>
          <w:p w14:paraId="350D295B">
            <w:pPr>
              <w:autoSpaceDE w:val="0"/>
              <w:autoSpaceDN w:val="0"/>
              <w:spacing w:line="240" w:lineRule="auto"/>
              <w:jc w:val="center"/>
              <w:rPr>
                <w:rFonts w:hint="default" w:ascii="宋体" w:hAnsi="宋体" w:eastAsia="宋体" w:cs="宋体"/>
                <w:b/>
                <w:bCs/>
                <w:color w:val="000000" w:themeColor="text1"/>
                <w:kern w:val="0"/>
                <w:sz w:val="21"/>
                <w:szCs w:val="21"/>
                <w:lang w:val="en-US" w:eastAsia="zh-CN"/>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服务名称</w:t>
            </w:r>
          </w:p>
        </w:tc>
        <w:tc>
          <w:tcPr>
            <w:tcW w:w="1227" w:type="dxa"/>
            <w:tcBorders>
              <w:top w:val="single" w:color="000000" w:sz="8" w:space="0"/>
              <w:left w:val="single" w:color="000000" w:sz="6" w:space="0"/>
              <w:bottom w:val="single" w:color="000000" w:sz="6" w:space="0"/>
              <w:right w:val="single" w:color="000000" w:sz="6" w:space="0"/>
            </w:tcBorders>
            <w:vAlign w:val="center"/>
          </w:tcPr>
          <w:p w14:paraId="5EFFB669">
            <w:pPr>
              <w:autoSpaceDE w:val="0"/>
              <w:autoSpaceDN w:val="0"/>
              <w:spacing w:line="240" w:lineRule="auto"/>
              <w:jc w:val="center"/>
              <w:rPr>
                <w:rFonts w:ascii="宋体" w:hAnsi="宋体" w:eastAsia="宋体" w:cs="宋体"/>
                <w:b/>
                <w:bCs/>
                <w:color w:val="000000" w:themeColor="text1"/>
                <w:kern w:val="0"/>
                <w:sz w:val="21"/>
                <w:szCs w:val="21"/>
                <w:lang w:val="zh-CN"/>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计量单位</w:t>
            </w:r>
          </w:p>
        </w:tc>
        <w:tc>
          <w:tcPr>
            <w:tcW w:w="1237" w:type="dxa"/>
            <w:tcBorders>
              <w:top w:val="single" w:color="000000" w:sz="8" w:space="0"/>
              <w:left w:val="single" w:color="000000" w:sz="6" w:space="0"/>
              <w:bottom w:val="single" w:color="000000" w:sz="6" w:space="0"/>
              <w:right w:val="single" w:color="000000" w:sz="6" w:space="0"/>
            </w:tcBorders>
            <w:vAlign w:val="center"/>
          </w:tcPr>
          <w:p w14:paraId="11AC8A3F">
            <w:pPr>
              <w:pStyle w:val="50"/>
              <w:widowControl w:val="0"/>
              <w:spacing w:line="300" w:lineRule="exact"/>
              <w:rPr>
                <w:rFonts w:ascii="宋体" w:hAnsi="宋体" w:eastAsia="宋体" w:cs="宋体"/>
                <w:b/>
                <w:bCs/>
                <w:color w:val="000000" w:themeColor="text1"/>
                <w:kern w:val="0"/>
                <w:sz w:val="21"/>
                <w:szCs w:val="21"/>
                <w:lang w:val="zh-CN"/>
                <w14:textFill>
                  <w14:solidFill>
                    <w14:schemeClr w14:val="tx1"/>
                  </w14:solidFill>
                </w14:textFill>
              </w:rPr>
            </w:pPr>
            <w:bookmarkStart w:id="440" w:name="_Toc31739"/>
            <w:bookmarkStart w:id="441" w:name="_Toc26543"/>
            <w:r>
              <w:rPr>
                <w:rFonts w:hint="eastAsia" w:ascii="仿宋" w:hAnsi="仿宋" w:eastAsia="仿宋" w:cs="仿宋"/>
                <w:sz w:val="24"/>
                <w:szCs w:val="24"/>
              </w:rPr>
              <w:t>具体要求说明</w:t>
            </w:r>
            <w:bookmarkEnd w:id="440"/>
            <w:bookmarkEnd w:id="441"/>
          </w:p>
        </w:tc>
        <w:tc>
          <w:tcPr>
            <w:tcW w:w="1172" w:type="dxa"/>
            <w:tcBorders>
              <w:top w:val="single" w:color="000000" w:sz="8" w:space="0"/>
              <w:left w:val="single" w:color="000000" w:sz="6" w:space="0"/>
              <w:bottom w:val="single" w:color="000000" w:sz="6" w:space="0"/>
              <w:right w:val="single" w:color="000000" w:sz="6" w:space="0"/>
            </w:tcBorders>
            <w:vAlign w:val="center"/>
          </w:tcPr>
          <w:p w14:paraId="2C7F3FC9">
            <w:pPr>
              <w:pStyle w:val="50"/>
              <w:widowControl w:val="0"/>
              <w:rPr>
                <w:rFonts w:ascii="宋体" w:hAnsi="宋体" w:eastAsia="宋体" w:cs="宋体"/>
                <w:b/>
                <w:bCs/>
                <w:color w:val="000000" w:themeColor="text1"/>
                <w:kern w:val="0"/>
                <w:sz w:val="21"/>
                <w:szCs w:val="21"/>
                <w:lang w:val="zh-CN"/>
                <w14:textFill>
                  <w14:solidFill>
                    <w14:schemeClr w14:val="tx1"/>
                  </w14:solidFill>
                </w14:textFill>
              </w:rPr>
            </w:pPr>
            <w:bookmarkStart w:id="442" w:name="_Toc3226"/>
            <w:bookmarkStart w:id="443" w:name="_Toc27516"/>
            <w:r>
              <w:rPr>
                <w:rFonts w:hint="eastAsia" w:ascii="仿宋" w:hAnsi="仿宋" w:eastAsia="仿宋" w:cs="仿宋"/>
                <w:sz w:val="24"/>
                <w:szCs w:val="24"/>
              </w:rPr>
              <w:t>单价</w:t>
            </w:r>
            <w:bookmarkEnd w:id="442"/>
            <w:bookmarkEnd w:id="443"/>
          </w:p>
        </w:tc>
        <w:tc>
          <w:tcPr>
            <w:tcW w:w="1086" w:type="dxa"/>
            <w:tcBorders>
              <w:top w:val="single" w:color="000000" w:sz="8" w:space="0"/>
              <w:left w:val="single" w:color="000000" w:sz="6" w:space="0"/>
              <w:bottom w:val="single" w:color="000000" w:sz="6" w:space="0"/>
              <w:right w:val="single" w:color="000000" w:sz="6" w:space="0"/>
            </w:tcBorders>
            <w:vAlign w:val="center"/>
          </w:tcPr>
          <w:p w14:paraId="7454B611">
            <w:pPr>
              <w:pStyle w:val="50"/>
              <w:widowControl w:val="0"/>
              <w:rPr>
                <w:rFonts w:ascii="宋体" w:hAnsi="宋体" w:eastAsia="宋体" w:cs="宋体"/>
                <w:b/>
                <w:bCs/>
                <w:color w:val="000000" w:themeColor="text1"/>
                <w:kern w:val="0"/>
                <w:sz w:val="21"/>
                <w:szCs w:val="21"/>
                <w:lang w:val="zh-CN"/>
                <w14:textFill>
                  <w14:solidFill>
                    <w14:schemeClr w14:val="tx1"/>
                  </w14:solidFill>
                </w14:textFill>
              </w:rPr>
            </w:pPr>
            <w:bookmarkStart w:id="444" w:name="_Toc26801"/>
            <w:bookmarkStart w:id="445" w:name="_Toc5864"/>
            <w:r>
              <w:rPr>
                <w:rFonts w:hint="eastAsia" w:ascii="仿宋" w:hAnsi="仿宋" w:eastAsia="仿宋" w:cs="仿宋"/>
                <w:sz w:val="24"/>
                <w:szCs w:val="24"/>
              </w:rPr>
              <w:t>数量</w:t>
            </w:r>
            <w:bookmarkEnd w:id="444"/>
            <w:bookmarkEnd w:id="445"/>
          </w:p>
        </w:tc>
        <w:tc>
          <w:tcPr>
            <w:tcW w:w="1294" w:type="dxa"/>
            <w:tcBorders>
              <w:top w:val="single" w:color="000000" w:sz="8" w:space="0"/>
              <w:left w:val="single" w:color="000000" w:sz="6" w:space="0"/>
              <w:bottom w:val="single" w:color="000000" w:sz="6" w:space="0"/>
              <w:right w:val="single" w:color="000000" w:sz="6" w:space="0"/>
            </w:tcBorders>
            <w:vAlign w:val="center"/>
          </w:tcPr>
          <w:p w14:paraId="24FC13E7">
            <w:pPr>
              <w:pStyle w:val="50"/>
              <w:widowControl w:val="0"/>
              <w:rPr>
                <w:rFonts w:ascii="宋体" w:hAnsi="宋体" w:eastAsia="宋体" w:cs="宋体"/>
                <w:b/>
                <w:bCs/>
                <w:color w:val="000000" w:themeColor="text1"/>
                <w:kern w:val="0"/>
                <w:sz w:val="21"/>
                <w:szCs w:val="21"/>
                <w:lang w:val="zh-CN"/>
                <w14:textFill>
                  <w14:solidFill>
                    <w14:schemeClr w14:val="tx1"/>
                  </w14:solidFill>
                </w14:textFill>
              </w:rPr>
            </w:pPr>
            <w:bookmarkStart w:id="446" w:name="_Toc20119"/>
            <w:bookmarkStart w:id="447" w:name="_Toc21635"/>
            <w:r>
              <w:rPr>
                <w:rFonts w:hint="eastAsia" w:ascii="仿宋" w:hAnsi="仿宋" w:eastAsia="仿宋" w:cs="仿宋"/>
                <w:sz w:val="24"/>
                <w:szCs w:val="24"/>
              </w:rPr>
              <w:t>合计</w:t>
            </w:r>
            <w:bookmarkEnd w:id="446"/>
            <w:bookmarkEnd w:id="447"/>
          </w:p>
        </w:tc>
        <w:tc>
          <w:tcPr>
            <w:tcW w:w="2250" w:type="dxa"/>
            <w:tcBorders>
              <w:top w:val="single" w:color="000000" w:sz="8" w:space="0"/>
              <w:left w:val="single" w:color="000000" w:sz="6" w:space="0"/>
              <w:bottom w:val="single" w:color="000000" w:sz="6" w:space="0"/>
              <w:right w:val="single" w:color="000000" w:sz="6" w:space="0"/>
            </w:tcBorders>
            <w:vAlign w:val="center"/>
          </w:tcPr>
          <w:p w14:paraId="466CBD53">
            <w:pPr>
              <w:pStyle w:val="50"/>
              <w:widowControl w:val="0"/>
              <w:rPr>
                <w:rFonts w:ascii="宋体" w:hAnsi="宋体" w:eastAsia="宋体" w:cs="宋体"/>
                <w:b/>
                <w:bCs/>
                <w:color w:val="000000" w:themeColor="text1"/>
                <w:kern w:val="0"/>
                <w:sz w:val="21"/>
                <w:szCs w:val="21"/>
                <w:lang w:val="zh-CN"/>
                <w14:textFill>
                  <w14:solidFill>
                    <w14:schemeClr w14:val="tx1"/>
                  </w14:solidFill>
                </w14:textFill>
              </w:rPr>
            </w:pPr>
            <w:bookmarkStart w:id="448" w:name="_Toc579"/>
            <w:bookmarkStart w:id="449" w:name="_Toc28432"/>
            <w:r>
              <w:rPr>
                <w:rFonts w:hint="eastAsia" w:ascii="仿宋" w:hAnsi="仿宋" w:eastAsia="仿宋" w:cs="仿宋"/>
                <w:sz w:val="24"/>
                <w:szCs w:val="24"/>
              </w:rPr>
              <w:t>备注</w:t>
            </w:r>
            <w:bookmarkEnd w:id="448"/>
            <w:bookmarkEnd w:id="449"/>
          </w:p>
        </w:tc>
      </w:tr>
      <w:tr w14:paraId="7782BCE7">
        <w:tblPrEx>
          <w:tblCellMar>
            <w:top w:w="0" w:type="dxa"/>
            <w:left w:w="28" w:type="dxa"/>
            <w:bottom w:w="0" w:type="dxa"/>
            <w:right w:w="28" w:type="dxa"/>
          </w:tblCellMar>
        </w:tblPrEx>
        <w:trPr>
          <w:trHeight w:val="561" w:hRule="atLeast"/>
          <w:jc w:val="center"/>
        </w:trPr>
        <w:tc>
          <w:tcPr>
            <w:tcW w:w="1535" w:type="dxa"/>
            <w:tcBorders>
              <w:top w:val="single" w:color="000000" w:sz="6" w:space="0"/>
              <w:left w:val="single" w:color="000000" w:sz="8" w:space="0"/>
              <w:bottom w:val="single" w:color="000000" w:sz="6" w:space="0"/>
              <w:right w:val="single" w:color="000000" w:sz="6" w:space="0"/>
            </w:tcBorders>
            <w:vAlign w:val="center"/>
          </w:tcPr>
          <w:p w14:paraId="41DB6BB3">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1</w:t>
            </w:r>
          </w:p>
        </w:tc>
        <w:tc>
          <w:tcPr>
            <w:tcW w:w="2384" w:type="dxa"/>
            <w:tcBorders>
              <w:top w:val="single" w:color="000000" w:sz="6" w:space="0"/>
              <w:left w:val="single" w:color="000000" w:sz="6" w:space="0"/>
              <w:bottom w:val="single" w:color="000000" w:sz="6" w:space="0"/>
              <w:right w:val="single" w:color="000000" w:sz="6" w:space="0"/>
            </w:tcBorders>
            <w:vAlign w:val="center"/>
          </w:tcPr>
          <w:p w14:paraId="111ECBDE">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018E8992">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237" w:type="dxa"/>
            <w:tcBorders>
              <w:top w:val="single" w:color="000000" w:sz="6" w:space="0"/>
              <w:left w:val="single" w:color="000000" w:sz="6" w:space="0"/>
              <w:bottom w:val="single" w:color="000000" w:sz="6" w:space="0"/>
              <w:right w:val="single" w:color="000000" w:sz="6" w:space="0"/>
            </w:tcBorders>
            <w:vAlign w:val="center"/>
          </w:tcPr>
          <w:p w14:paraId="5E641D94">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172" w:type="dxa"/>
            <w:tcBorders>
              <w:top w:val="single" w:color="000000" w:sz="6" w:space="0"/>
              <w:left w:val="single" w:color="000000" w:sz="6" w:space="0"/>
              <w:bottom w:val="single" w:color="000000" w:sz="6" w:space="0"/>
              <w:right w:val="single" w:color="000000" w:sz="6" w:space="0"/>
            </w:tcBorders>
            <w:vAlign w:val="center"/>
          </w:tcPr>
          <w:p w14:paraId="0819761D">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086" w:type="dxa"/>
            <w:tcBorders>
              <w:top w:val="single" w:color="000000" w:sz="6" w:space="0"/>
              <w:left w:val="single" w:color="000000" w:sz="6" w:space="0"/>
              <w:bottom w:val="single" w:color="000000" w:sz="6" w:space="0"/>
              <w:right w:val="single" w:color="000000" w:sz="6" w:space="0"/>
            </w:tcBorders>
            <w:vAlign w:val="center"/>
          </w:tcPr>
          <w:p w14:paraId="30D39252">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294" w:type="dxa"/>
            <w:tcBorders>
              <w:top w:val="single" w:color="000000" w:sz="6" w:space="0"/>
              <w:left w:val="single" w:color="000000" w:sz="6" w:space="0"/>
              <w:bottom w:val="single" w:color="000000" w:sz="6" w:space="0"/>
              <w:right w:val="single" w:color="000000" w:sz="6" w:space="0"/>
            </w:tcBorders>
            <w:vAlign w:val="center"/>
          </w:tcPr>
          <w:p w14:paraId="4B1E5E6D">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2250" w:type="dxa"/>
            <w:tcBorders>
              <w:top w:val="single" w:color="000000" w:sz="6" w:space="0"/>
              <w:left w:val="single" w:color="000000" w:sz="6" w:space="0"/>
              <w:bottom w:val="single" w:color="000000" w:sz="6" w:space="0"/>
              <w:right w:val="single" w:color="000000" w:sz="6" w:space="0"/>
            </w:tcBorders>
            <w:vAlign w:val="center"/>
          </w:tcPr>
          <w:p w14:paraId="695F43D4">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r>
      <w:tr w14:paraId="65151D1D">
        <w:tblPrEx>
          <w:tblCellMar>
            <w:top w:w="0" w:type="dxa"/>
            <w:left w:w="28" w:type="dxa"/>
            <w:bottom w:w="0" w:type="dxa"/>
            <w:right w:w="28" w:type="dxa"/>
          </w:tblCellMar>
        </w:tblPrEx>
        <w:trPr>
          <w:trHeight w:val="561" w:hRule="atLeast"/>
          <w:jc w:val="center"/>
        </w:trPr>
        <w:tc>
          <w:tcPr>
            <w:tcW w:w="1535" w:type="dxa"/>
            <w:tcBorders>
              <w:top w:val="single" w:color="000000" w:sz="6" w:space="0"/>
              <w:left w:val="single" w:color="000000" w:sz="8" w:space="0"/>
              <w:bottom w:val="single" w:color="000000" w:sz="6" w:space="0"/>
              <w:right w:val="single" w:color="000000" w:sz="6" w:space="0"/>
            </w:tcBorders>
            <w:vAlign w:val="center"/>
          </w:tcPr>
          <w:p w14:paraId="72D97692">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2</w:t>
            </w:r>
          </w:p>
        </w:tc>
        <w:tc>
          <w:tcPr>
            <w:tcW w:w="2384" w:type="dxa"/>
            <w:tcBorders>
              <w:top w:val="single" w:color="000000" w:sz="6" w:space="0"/>
              <w:left w:val="single" w:color="000000" w:sz="6" w:space="0"/>
              <w:bottom w:val="single" w:color="000000" w:sz="6" w:space="0"/>
              <w:right w:val="single" w:color="000000" w:sz="6" w:space="0"/>
            </w:tcBorders>
            <w:vAlign w:val="center"/>
          </w:tcPr>
          <w:p w14:paraId="34294A23">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50D79BA9">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237" w:type="dxa"/>
            <w:tcBorders>
              <w:top w:val="single" w:color="000000" w:sz="6" w:space="0"/>
              <w:left w:val="single" w:color="000000" w:sz="6" w:space="0"/>
              <w:bottom w:val="single" w:color="000000" w:sz="6" w:space="0"/>
              <w:right w:val="single" w:color="000000" w:sz="6" w:space="0"/>
            </w:tcBorders>
            <w:vAlign w:val="center"/>
          </w:tcPr>
          <w:p w14:paraId="7F59BB39">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172" w:type="dxa"/>
            <w:tcBorders>
              <w:top w:val="single" w:color="000000" w:sz="6" w:space="0"/>
              <w:left w:val="single" w:color="000000" w:sz="6" w:space="0"/>
              <w:bottom w:val="single" w:color="000000" w:sz="6" w:space="0"/>
              <w:right w:val="single" w:color="000000" w:sz="6" w:space="0"/>
            </w:tcBorders>
            <w:vAlign w:val="center"/>
          </w:tcPr>
          <w:p w14:paraId="74FC318F">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086" w:type="dxa"/>
            <w:tcBorders>
              <w:top w:val="single" w:color="000000" w:sz="6" w:space="0"/>
              <w:left w:val="single" w:color="000000" w:sz="6" w:space="0"/>
              <w:bottom w:val="single" w:color="000000" w:sz="6" w:space="0"/>
              <w:right w:val="single" w:color="000000" w:sz="6" w:space="0"/>
            </w:tcBorders>
            <w:vAlign w:val="center"/>
          </w:tcPr>
          <w:p w14:paraId="44D8F467">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294" w:type="dxa"/>
            <w:tcBorders>
              <w:top w:val="single" w:color="000000" w:sz="6" w:space="0"/>
              <w:left w:val="single" w:color="000000" w:sz="6" w:space="0"/>
              <w:bottom w:val="single" w:color="000000" w:sz="6" w:space="0"/>
              <w:right w:val="single" w:color="000000" w:sz="6" w:space="0"/>
            </w:tcBorders>
            <w:vAlign w:val="center"/>
          </w:tcPr>
          <w:p w14:paraId="531FB56E">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2250" w:type="dxa"/>
            <w:tcBorders>
              <w:top w:val="single" w:color="000000" w:sz="6" w:space="0"/>
              <w:left w:val="single" w:color="000000" w:sz="6" w:space="0"/>
              <w:bottom w:val="single" w:color="000000" w:sz="6" w:space="0"/>
              <w:right w:val="single" w:color="000000" w:sz="6" w:space="0"/>
            </w:tcBorders>
            <w:vAlign w:val="center"/>
          </w:tcPr>
          <w:p w14:paraId="2354C56C">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r>
      <w:tr w14:paraId="1E3CE446">
        <w:tblPrEx>
          <w:tblCellMar>
            <w:top w:w="0" w:type="dxa"/>
            <w:left w:w="28" w:type="dxa"/>
            <w:bottom w:w="0" w:type="dxa"/>
            <w:right w:w="28" w:type="dxa"/>
          </w:tblCellMar>
        </w:tblPrEx>
        <w:trPr>
          <w:trHeight w:val="561" w:hRule="atLeast"/>
          <w:jc w:val="center"/>
        </w:trPr>
        <w:tc>
          <w:tcPr>
            <w:tcW w:w="1535" w:type="dxa"/>
            <w:tcBorders>
              <w:top w:val="single" w:color="000000" w:sz="6" w:space="0"/>
              <w:left w:val="single" w:color="000000" w:sz="8" w:space="0"/>
              <w:bottom w:val="single" w:color="000000" w:sz="6" w:space="0"/>
              <w:right w:val="single" w:color="000000" w:sz="6" w:space="0"/>
            </w:tcBorders>
            <w:vAlign w:val="center"/>
          </w:tcPr>
          <w:p w14:paraId="09054169">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zh-CN"/>
                <w14:textFill>
                  <w14:solidFill>
                    <w14:schemeClr w14:val="tx1"/>
                  </w14:solidFill>
                </w14:textFill>
              </w:rPr>
              <w:t>…</w:t>
            </w:r>
          </w:p>
        </w:tc>
        <w:tc>
          <w:tcPr>
            <w:tcW w:w="2384" w:type="dxa"/>
            <w:tcBorders>
              <w:top w:val="single" w:color="000000" w:sz="6" w:space="0"/>
              <w:left w:val="single" w:color="000000" w:sz="6" w:space="0"/>
              <w:bottom w:val="single" w:color="000000" w:sz="6" w:space="0"/>
              <w:right w:val="single" w:color="000000" w:sz="6" w:space="0"/>
            </w:tcBorders>
            <w:vAlign w:val="center"/>
          </w:tcPr>
          <w:p w14:paraId="6FDD2525">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227" w:type="dxa"/>
            <w:tcBorders>
              <w:top w:val="single" w:color="000000" w:sz="6" w:space="0"/>
              <w:left w:val="single" w:color="000000" w:sz="6" w:space="0"/>
              <w:bottom w:val="single" w:color="000000" w:sz="6" w:space="0"/>
              <w:right w:val="single" w:color="000000" w:sz="6" w:space="0"/>
            </w:tcBorders>
            <w:vAlign w:val="center"/>
          </w:tcPr>
          <w:p w14:paraId="6108E2E9">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237" w:type="dxa"/>
            <w:tcBorders>
              <w:top w:val="single" w:color="000000" w:sz="6" w:space="0"/>
              <w:left w:val="single" w:color="000000" w:sz="6" w:space="0"/>
              <w:bottom w:val="single" w:color="000000" w:sz="6" w:space="0"/>
              <w:right w:val="single" w:color="000000" w:sz="6" w:space="0"/>
            </w:tcBorders>
            <w:vAlign w:val="center"/>
          </w:tcPr>
          <w:p w14:paraId="5FF0918F">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172" w:type="dxa"/>
            <w:tcBorders>
              <w:top w:val="single" w:color="000000" w:sz="6" w:space="0"/>
              <w:left w:val="single" w:color="000000" w:sz="6" w:space="0"/>
              <w:bottom w:val="single" w:color="000000" w:sz="6" w:space="0"/>
              <w:right w:val="single" w:color="000000" w:sz="6" w:space="0"/>
            </w:tcBorders>
            <w:vAlign w:val="center"/>
          </w:tcPr>
          <w:p w14:paraId="2B6B250F">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086" w:type="dxa"/>
            <w:tcBorders>
              <w:top w:val="single" w:color="000000" w:sz="6" w:space="0"/>
              <w:left w:val="single" w:color="000000" w:sz="6" w:space="0"/>
              <w:bottom w:val="single" w:color="000000" w:sz="6" w:space="0"/>
              <w:right w:val="single" w:color="000000" w:sz="6" w:space="0"/>
            </w:tcBorders>
            <w:vAlign w:val="center"/>
          </w:tcPr>
          <w:p w14:paraId="2E570FE3">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1294" w:type="dxa"/>
            <w:tcBorders>
              <w:top w:val="single" w:color="000000" w:sz="6" w:space="0"/>
              <w:left w:val="single" w:color="000000" w:sz="6" w:space="0"/>
              <w:bottom w:val="single" w:color="000000" w:sz="6" w:space="0"/>
              <w:right w:val="single" w:color="000000" w:sz="6" w:space="0"/>
            </w:tcBorders>
            <w:vAlign w:val="center"/>
          </w:tcPr>
          <w:p w14:paraId="184DEF0F">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c>
          <w:tcPr>
            <w:tcW w:w="2250" w:type="dxa"/>
            <w:tcBorders>
              <w:top w:val="single" w:color="000000" w:sz="6" w:space="0"/>
              <w:left w:val="single" w:color="000000" w:sz="6" w:space="0"/>
              <w:bottom w:val="single" w:color="000000" w:sz="6" w:space="0"/>
              <w:right w:val="single" w:color="000000" w:sz="6" w:space="0"/>
            </w:tcBorders>
            <w:vAlign w:val="center"/>
          </w:tcPr>
          <w:p w14:paraId="05E6238A">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p>
        </w:tc>
      </w:tr>
      <w:tr w14:paraId="0B83688E">
        <w:tblPrEx>
          <w:tblCellMar>
            <w:top w:w="0" w:type="dxa"/>
            <w:left w:w="28" w:type="dxa"/>
            <w:bottom w:w="0" w:type="dxa"/>
            <w:right w:w="28" w:type="dxa"/>
          </w:tblCellMar>
        </w:tblPrEx>
        <w:trPr>
          <w:trHeight w:val="1624" w:hRule="atLeast"/>
          <w:jc w:val="center"/>
        </w:trPr>
        <w:tc>
          <w:tcPr>
            <w:tcW w:w="3919" w:type="dxa"/>
            <w:gridSpan w:val="2"/>
            <w:tcBorders>
              <w:top w:val="single" w:color="000000" w:sz="6" w:space="0"/>
              <w:left w:val="single" w:color="000000" w:sz="8" w:space="0"/>
              <w:bottom w:val="single" w:color="000000" w:sz="6" w:space="0"/>
              <w:right w:val="single" w:color="000000" w:sz="6" w:space="0"/>
            </w:tcBorders>
            <w:vAlign w:val="center"/>
          </w:tcPr>
          <w:p w14:paraId="4AC2BB15">
            <w:pPr>
              <w:autoSpaceDE w:val="0"/>
              <w:autoSpaceDN w:val="0"/>
              <w:spacing w:line="240" w:lineRule="auto"/>
              <w:jc w:val="center"/>
              <w:rPr>
                <w:rFonts w:ascii="宋体" w:hAnsi="宋体" w:eastAsia="宋体" w:cs="宋体"/>
                <w:color w:val="000000" w:themeColor="text1"/>
                <w:kern w:val="0"/>
                <w:sz w:val="21"/>
                <w:szCs w:val="21"/>
                <w:lang w:val="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磋商</w:t>
            </w:r>
            <w:r>
              <w:rPr>
                <w:rFonts w:hint="eastAsia" w:ascii="宋体" w:hAnsi="宋体" w:eastAsia="宋体" w:cs="宋体"/>
                <w:color w:val="000000" w:themeColor="text1"/>
                <w:kern w:val="0"/>
                <w:sz w:val="21"/>
                <w:szCs w:val="21"/>
                <w:lang w:val="zh-CN"/>
                <w14:textFill>
                  <w14:solidFill>
                    <w14:schemeClr w14:val="tx1"/>
                  </w14:solidFill>
                </w14:textFill>
              </w:rPr>
              <w:t>报价</w:t>
            </w:r>
          </w:p>
        </w:tc>
        <w:tc>
          <w:tcPr>
            <w:tcW w:w="8266" w:type="dxa"/>
            <w:gridSpan w:val="6"/>
            <w:tcBorders>
              <w:top w:val="single" w:color="000000" w:sz="6" w:space="0"/>
              <w:left w:val="single" w:color="000000" w:sz="6" w:space="0"/>
              <w:bottom w:val="single" w:color="000000" w:sz="6" w:space="0"/>
              <w:right w:val="single" w:color="000000" w:sz="6" w:space="0"/>
            </w:tcBorders>
            <w:vAlign w:val="center"/>
          </w:tcPr>
          <w:p w14:paraId="247F2469">
            <w:pPr>
              <w:pStyle w:val="2"/>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小写：</w:t>
            </w:r>
          </w:p>
          <w:p w14:paraId="7351C556">
            <w:pPr>
              <w:pStyle w:val="2"/>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大写：</w:t>
            </w:r>
          </w:p>
          <w:p w14:paraId="12DF59DD">
            <w:pPr>
              <w:autoSpaceDE w:val="0"/>
              <w:autoSpaceDN w:val="0"/>
              <w:spacing w:line="240" w:lineRule="auto"/>
              <w:jc w:val="center"/>
              <w:rPr>
                <w:rFonts w:hint="eastAsia" w:ascii="宋体" w:hAnsi="宋体" w:eastAsia="宋体" w:cs="宋体"/>
                <w:color w:val="000000" w:themeColor="text1"/>
                <w:kern w:val="0"/>
                <w:sz w:val="21"/>
                <w:szCs w:val="21"/>
                <w:lang w:val="en-US" w:eastAsia="zh-CN"/>
                <w14:textFill>
                  <w14:solidFill>
                    <w14:schemeClr w14:val="tx1"/>
                  </w14:solidFill>
                </w14:textFill>
              </w:rPr>
            </w:pPr>
            <w:bookmarkStart w:id="450" w:name="_Toc31077"/>
            <w:bookmarkStart w:id="451" w:name="_Toc2537"/>
            <w:r>
              <w:rPr>
                <w:rFonts w:ascii="仿宋" w:hAnsi="仿宋" w:eastAsia="仿宋" w:cs="仿宋"/>
                <w:b w:val="0"/>
                <w:bCs w:val="0"/>
                <w:sz w:val="24"/>
                <w:szCs w:val="24"/>
              </w:rPr>
              <w:t xml:space="preserve">                            </w:t>
            </w:r>
            <w:bookmarkStart w:id="452" w:name="_Toc8004"/>
            <w:bookmarkStart w:id="453" w:name="_Toc17991"/>
            <w:bookmarkStart w:id="454" w:name="_Toc31429"/>
            <w:bookmarkStart w:id="455" w:name="_Toc22162"/>
            <w:bookmarkStart w:id="456" w:name="_Toc28010"/>
            <w:bookmarkStart w:id="457" w:name="_Toc7253"/>
            <w:r>
              <w:rPr>
                <w:rFonts w:ascii="仿宋" w:hAnsi="仿宋" w:eastAsia="仿宋" w:cs="仿宋"/>
                <w:b w:val="0"/>
                <w:bCs w:val="0"/>
                <w:sz w:val="24"/>
                <w:szCs w:val="24"/>
              </w:rPr>
              <w:t xml:space="preserve">     </w:t>
            </w:r>
            <w:bookmarkStart w:id="458" w:name="_Toc8219"/>
            <w:bookmarkStart w:id="459" w:name="_Toc32366"/>
            <w:bookmarkStart w:id="460" w:name="_Toc26292"/>
            <w:bookmarkStart w:id="461" w:name="_Toc2811"/>
            <w:r>
              <w:rPr>
                <w:rFonts w:hint="eastAsia" w:ascii="仿宋" w:hAnsi="仿宋" w:eastAsia="仿宋" w:cs="仿宋"/>
                <w:b w:val="0"/>
                <w:bCs w:val="0"/>
                <w:sz w:val="24"/>
                <w:szCs w:val="24"/>
              </w:rPr>
              <w:t>单位：元（保留到元）</w:t>
            </w:r>
            <w:bookmarkEnd w:id="450"/>
            <w:bookmarkEnd w:id="451"/>
            <w:bookmarkEnd w:id="452"/>
            <w:bookmarkEnd w:id="453"/>
            <w:bookmarkEnd w:id="454"/>
            <w:bookmarkEnd w:id="455"/>
            <w:bookmarkEnd w:id="456"/>
            <w:bookmarkEnd w:id="457"/>
            <w:bookmarkEnd w:id="458"/>
            <w:bookmarkEnd w:id="459"/>
            <w:bookmarkEnd w:id="460"/>
            <w:bookmarkEnd w:id="461"/>
          </w:p>
        </w:tc>
      </w:tr>
    </w:tbl>
    <w:p w14:paraId="025A5EB2">
      <w:pPr>
        <w:autoSpaceDE w:val="0"/>
        <w:autoSpaceDN w:val="0"/>
        <w:spacing w:line="240" w:lineRule="auto"/>
        <w:ind w:firstLine="480"/>
        <w:rPr>
          <w:rFonts w:hint="eastAsia" w:ascii="宋体" w:hAnsi="宋体" w:eastAsia="宋体" w:cs="宋体"/>
          <w:color w:val="auto"/>
          <w:kern w:val="0"/>
          <w:sz w:val="21"/>
          <w:szCs w:val="21"/>
        </w:rPr>
      </w:pPr>
    </w:p>
    <w:p w14:paraId="694F7F0A">
      <w:pPr>
        <w:autoSpaceDE w:val="0"/>
        <w:autoSpaceDN w:val="0"/>
        <w:spacing w:line="240" w:lineRule="auto"/>
        <w:ind w:firstLine="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rPr>
        <w:t>1、</w:t>
      </w:r>
      <w:r>
        <w:rPr>
          <w:rFonts w:hint="eastAsia" w:ascii="宋体" w:hAnsi="宋体" w:eastAsia="宋体" w:cs="宋体"/>
          <w:sz w:val="21"/>
          <w:szCs w:val="21"/>
        </w:rPr>
        <w:t>本表“</w:t>
      </w:r>
      <w:r>
        <w:rPr>
          <w:rFonts w:hint="eastAsia" w:ascii="宋体" w:hAnsi="宋体" w:eastAsia="宋体" w:cs="宋体"/>
          <w:sz w:val="21"/>
          <w:szCs w:val="21"/>
          <w:lang w:val="en-US" w:eastAsia="zh-CN"/>
        </w:rPr>
        <w:t>磋商</w:t>
      </w:r>
      <w:r>
        <w:rPr>
          <w:rFonts w:hint="eastAsia" w:ascii="宋体" w:hAnsi="宋体" w:eastAsia="宋体" w:cs="宋体"/>
          <w:sz w:val="21"/>
          <w:szCs w:val="21"/>
        </w:rPr>
        <w:t>报价”金额应与“</w:t>
      </w:r>
      <w:r>
        <w:rPr>
          <w:rFonts w:hint="eastAsia" w:ascii="宋体" w:hAnsi="宋体" w:eastAsia="宋体" w:cs="宋体"/>
          <w:sz w:val="21"/>
          <w:szCs w:val="21"/>
          <w:lang w:val="en-US" w:eastAsia="zh-CN"/>
        </w:rPr>
        <w:t>第一次磋商报价表</w:t>
      </w:r>
      <w:r>
        <w:rPr>
          <w:rFonts w:hint="eastAsia" w:ascii="宋体" w:hAnsi="宋体" w:eastAsia="宋体" w:cs="宋体"/>
          <w:sz w:val="21"/>
          <w:szCs w:val="21"/>
        </w:rPr>
        <w:t>”中的“</w:t>
      </w:r>
      <w:r>
        <w:rPr>
          <w:rFonts w:hint="eastAsia" w:ascii="宋体" w:hAnsi="宋体" w:eastAsia="宋体" w:cs="宋体"/>
          <w:sz w:val="21"/>
          <w:szCs w:val="21"/>
          <w:lang w:val="en-US" w:eastAsia="zh-CN"/>
        </w:rPr>
        <w:t>磋商</w:t>
      </w:r>
      <w:r>
        <w:rPr>
          <w:rFonts w:hint="eastAsia" w:ascii="宋体" w:hAnsi="宋体" w:eastAsia="宋体" w:cs="宋体"/>
          <w:sz w:val="21"/>
          <w:szCs w:val="21"/>
        </w:rPr>
        <w:t>报价”一致；</w:t>
      </w:r>
    </w:p>
    <w:p w14:paraId="12DE9624">
      <w:pPr>
        <w:tabs>
          <w:tab w:val="right" w:pos="9072"/>
        </w:tabs>
        <w:ind w:firstLine="852" w:firstLineChars="400"/>
        <w:rPr>
          <w:rFonts w:ascii="华文仿宋" w:cs="Times New Roman"/>
          <w:sz w:val="24"/>
          <w:szCs w:val="24"/>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w:t>
      </w:r>
      <w:r>
        <w:rPr>
          <w:rFonts w:hint="eastAsia" w:ascii="宋体" w:hAnsi="宋体" w:eastAsia="宋体" w:cs="宋体"/>
          <w:sz w:val="21"/>
          <w:szCs w:val="21"/>
        </w:rPr>
        <w:t>本表为样表，仅供参考，供应商根据项目实际需求进行填写。</w:t>
      </w:r>
    </w:p>
    <w:p w14:paraId="0F636378">
      <w:pPr>
        <w:autoSpaceDE w:val="0"/>
        <w:autoSpaceDN w:val="0"/>
        <w:spacing w:line="240" w:lineRule="auto"/>
        <w:ind w:firstLine="480"/>
        <w:rPr>
          <w:rFonts w:hint="eastAsia" w:ascii="宋体" w:hAnsi="宋体" w:eastAsia="宋体" w:cs="宋体"/>
          <w:color w:val="auto"/>
          <w:kern w:val="0"/>
          <w:sz w:val="21"/>
          <w:szCs w:val="21"/>
        </w:rPr>
      </w:pPr>
    </w:p>
    <w:p w14:paraId="72EB9A0C">
      <w:pPr>
        <w:pStyle w:val="3"/>
        <w:spacing w:afterLines="0" w:line="500" w:lineRule="exact"/>
        <w:jc w:val="both"/>
        <w:rPr>
          <w:rFonts w:ascii="仿宋" w:hAnsi="仿宋" w:eastAsia="仿宋"/>
          <w:bCs/>
          <w:color w:val="000000" w:themeColor="text1"/>
          <w14:textFill>
            <w14:solidFill>
              <w14:schemeClr w14:val="tx1"/>
            </w14:solidFill>
          </w14:textFill>
        </w:rPr>
      </w:pPr>
      <w:r>
        <w:rPr>
          <w:rFonts w:hint="eastAsia" w:ascii="仿宋" w:hAnsi="仿宋" w:eastAsia="仿宋" w:cstheme="minorHAnsi"/>
          <w:b/>
          <w:bCs/>
          <w:color w:val="000000" w:themeColor="text1"/>
          <w:lang w:val="en-US" w:eastAsia="zh-CN"/>
          <w14:textFill>
            <w14:solidFill>
              <w14:schemeClr w14:val="tx1"/>
            </w14:solidFill>
          </w14:textFill>
        </w:rPr>
        <w:t xml:space="preserve">                                                                       </w:t>
      </w:r>
      <w:r>
        <w:rPr>
          <w:rFonts w:hint="eastAsia" w:ascii="华文仿宋" w:hAnsi="华文仿宋" w:cs="华文仿宋"/>
          <w:bCs/>
          <w:color w:val="000000" w:themeColor="text1"/>
          <w:sz w:val="28"/>
          <w:szCs w:val="32"/>
          <w14:textFill>
            <w14:solidFill>
              <w14:schemeClr w14:val="tx1"/>
            </w14:solidFill>
          </w14:textFill>
        </w:rPr>
        <w:t>供应商：</w:t>
      </w:r>
      <w:r>
        <w:rPr>
          <w:rFonts w:hint="eastAsia" w:ascii="华文仿宋" w:hAnsi="华文仿宋" w:cs="华文仿宋"/>
          <w:color w:val="000000" w:themeColor="text1"/>
          <w:sz w:val="28"/>
          <w:szCs w:val="32"/>
          <w:u w:val="single"/>
          <w14:textFill>
            <w14:solidFill>
              <w14:schemeClr w14:val="tx1"/>
            </w14:solidFill>
          </w14:textFill>
        </w:rPr>
        <w:t>名称</w:t>
      </w:r>
      <w:r>
        <w:rPr>
          <w:rFonts w:hint="eastAsia" w:ascii="华文仿宋" w:hAnsi="华文仿宋" w:cs="华文仿宋"/>
          <w:bCs/>
          <w:color w:val="000000" w:themeColor="text1"/>
          <w:sz w:val="28"/>
          <w:szCs w:val="32"/>
          <w14:textFill>
            <w14:solidFill>
              <w14:schemeClr w14:val="tx1"/>
            </w14:solidFill>
          </w14:textFill>
        </w:rPr>
        <w:t>（加盖公章）</w:t>
      </w:r>
      <w:r>
        <w:rPr>
          <w:rFonts w:ascii="仿宋" w:hAnsi="仿宋" w:eastAsia="仿宋"/>
          <w:bCs/>
          <w:color w:val="000000" w:themeColor="text1"/>
          <w14:textFill>
            <w14:solidFill>
              <w14:schemeClr w14:val="tx1"/>
            </w14:solidFill>
          </w14:textFill>
        </w:rPr>
        <w:tab/>
      </w:r>
    </w:p>
    <w:p w14:paraId="45E4158E">
      <w:pPr>
        <w:spacing w:line="500" w:lineRule="exact"/>
        <w:jc w:val="center"/>
        <w:rPr>
          <w:rFonts w:hint="eastAsia" w:ascii="宋体" w:hAnsi="宋体" w:eastAsia="华文仿宋"/>
          <w:b/>
          <w:bCs/>
          <w:color w:val="auto"/>
          <w:sz w:val="32"/>
          <w:szCs w:val="32"/>
          <w:lang w:val="en-US" w:eastAsia="zh-CN"/>
        </w:rPr>
        <w:sectPr>
          <w:pgSz w:w="16838" w:h="11906" w:orient="landscape"/>
          <w:pgMar w:top="1417" w:right="1417" w:bottom="1417" w:left="1417" w:header="850" w:footer="992" w:gutter="0"/>
          <w:pgNumType w:fmt="decimal"/>
          <w:cols w:space="720" w:num="1"/>
          <w:docGrid w:type="linesAndChars" w:linePitch="381" w:charSpace="704"/>
        </w:sectPr>
      </w:pP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日期：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年　月　</w:t>
      </w:r>
      <w:r>
        <w:rPr>
          <w:rFonts w:hint="eastAsia"/>
          <w:color w:val="000000" w:themeColor="text1"/>
          <w:lang w:val="en-US" w:eastAsia="zh-CN"/>
          <w14:textFill>
            <w14:solidFill>
              <w14:schemeClr w14:val="tx1"/>
            </w14:solidFill>
          </w14:textFill>
        </w:rPr>
        <w:t>日</w:t>
      </w:r>
    </w:p>
    <w:p w14:paraId="3ACEF010">
      <w:pPr>
        <w:tabs>
          <w:tab w:val="right" w:pos="9070"/>
        </w:tabs>
        <w:spacing w:line="500" w:lineRule="exact"/>
        <w:jc w:val="left"/>
        <w:rPr>
          <w:rFonts w:hint="eastAsia" w:ascii="仿宋" w:hAnsi="仿宋" w:eastAsia="仿宋" w:cs="仿宋"/>
          <w:bCs w:val="0"/>
          <w:color w:val="auto"/>
        </w:rPr>
      </w:pPr>
      <w:bookmarkStart w:id="462" w:name="_Toc13309_WPSOffice_Level2"/>
      <w:bookmarkStart w:id="463" w:name="_Toc9727_WPSOffice_Level2"/>
      <w:bookmarkStart w:id="464" w:name="_Toc26585"/>
      <w:bookmarkStart w:id="465" w:name="_Toc18036_WPSOffice_Level2"/>
      <w:bookmarkStart w:id="466" w:name="_Toc1823_WPSOffice_Level2"/>
      <w:bookmarkStart w:id="467" w:name="_Toc26668"/>
      <w:bookmarkStart w:id="468" w:name="_Toc13794"/>
      <w:bookmarkStart w:id="469" w:name="_Toc26536_WPSOffice_Level2"/>
      <w:r>
        <w:rPr>
          <w:rFonts w:hint="eastAsia" w:ascii="仿宋" w:hAnsi="仿宋" w:eastAsia="仿宋" w:cs="仿宋"/>
          <w:b/>
          <w:bCs w:val="0"/>
          <w:color w:val="auto"/>
          <w:kern w:val="2"/>
          <w:sz w:val="32"/>
          <w:szCs w:val="32"/>
          <w:lang w:val="en-US" w:eastAsia="zh-CN" w:bidi="ar-SA"/>
        </w:rPr>
        <w:t>三、磋商保证金交纳凭证</w:t>
      </w:r>
      <w:bookmarkEnd w:id="462"/>
      <w:bookmarkStart w:id="470" w:name="_Toc31082"/>
    </w:p>
    <w:bookmarkEnd w:id="470"/>
    <w:p w14:paraId="1496E596">
      <w:pPr>
        <w:pStyle w:val="16"/>
        <w:spacing w:line="500" w:lineRule="exact"/>
        <w:ind w:firstLine="566" w:firstLineChars="200"/>
        <w:rPr>
          <w:rFonts w:ascii="仿宋" w:hAnsi="仿宋" w:eastAsia="仿宋" w:cs="仿宋"/>
          <w:color w:val="auto"/>
          <w:sz w:val="28"/>
        </w:rPr>
      </w:pPr>
      <w:r>
        <w:rPr>
          <w:rFonts w:hint="eastAsia" w:ascii="华文仿宋" w:hAnsi="华文仿宋" w:eastAsia="华文仿宋" w:cs="华文仿宋"/>
          <w:color w:val="auto"/>
          <w:sz w:val="28"/>
          <w:szCs w:val="28"/>
        </w:rPr>
        <w:t>保证金以纸质银行保函方式交纳的，提供采购人开具的保函回执复印件并加盖供应商公章。</w:t>
      </w:r>
    </w:p>
    <w:p w14:paraId="5C419122">
      <w:pPr>
        <w:pStyle w:val="16"/>
        <w:rPr>
          <w:rFonts w:ascii="仿宋" w:hAnsi="仿宋" w:eastAsia="仿宋" w:cs="仿宋"/>
          <w:color w:val="auto"/>
          <w:sz w:val="28"/>
        </w:rPr>
      </w:pPr>
    </w:p>
    <w:p w14:paraId="449C8AA9">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1FE3832D">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41876511">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3CD6C4B3">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04BF4417">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68EAC039">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39631D3E">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48AD7E87">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3D327882">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526A40B4">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4A9B2339">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01530FA7">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6F4AF40D">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1469B59D">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6AFE4389">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30F4DF62">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5BBB0712">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4CD51383">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4107FCC8">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782033BF">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1374A089">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72DE8215">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31AF194E">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37C0FAA2">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6C6F1B30">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1A78C51A">
      <w:pPr>
        <w:pStyle w:val="16"/>
        <w:pageBreakBefore w:val="0"/>
        <w:kinsoku/>
        <w:wordWrap/>
        <w:overflowPunct/>
        <w:topLinePunct w:val="0"/>
        <w:autoSpaceDE/>
        <w:autoSpaceDN/>
        <w:bidi w:val="0"/>
        <w:adjustRightInd/>
        <w:textAlignment w:val="auto"/>
        <w:outlineLvl w:val="9"/>
        <w:rPr>
          <w:rFonts w:ascii="仿宋" w:hAnsi="仿宋" w:eastAsia="仿宋" w:cs="仿宋"/>
          <w:color w:val="auto"/>
          <w:sz w:val="28"/>
        </w:rPr>
      </w:pPr>
    </w:p>
    <w:p w14:paraId="5D2E5435">
      <w:pPr>
        <w:pStyle w:val="50"/>
        <w:pageBreakBefore w:val="0"/>
        <w:kinsoku/>
        <w:wordWrap/>
        <w:overflowPunct/>
        <w:topLinePunct w:val="0"/>
        <w:autoSpaceDE/>
        <w:autoSpaceDN/>
        <w:bidi w:val="0"/>
        <w:adjustRightInd/>
        <w:jc w:val="both"/>
        <w:textAlignment w:val="auto"/>
        <w:outlineLvl w:val="9"/>
        <w:rPr>
          <w:rFonts w:ascii="仿宋" w:hAnsi="仿宋" w:eastAsia="仿宋" w:cs="仿宋"/>
          <w:bCs w:val="0"/>
          <w:color w:val="auto"/>
        </w:rPr>
      </w:pPr>
    </w:p>
    <w:p w14:paraId="4E7300A2">
      <w:pPr>
        <w:pageBreakBefore w:val="0"/>
        <w:kinsoku/>
        <w:wordWrap/>
        <w:overflowPunct/>
        <w:topLinePunct w:val="0"/>
        <w:autoSpaceDE/>
        <w:autoSpaceDN/>
        <w:bidi w:val="0"/>
        <w:adjustRightInd/>
        <w:spacing w:line="240" w:lineRule="auto"/>
        <w:textAlignment w:val="auto"/>
        <w:outlineLvl w:val="9"/>
        <w:rPr>
          <w:rFonts w:ascii="仿宋" w:hAnsi="仿宋" w:eastAsia="仿宋" w:cs="仿宋"/>
          <w:b/>
          <w:color w:val="auto"/>
        </w:rPr>
      </w:pPr>
    </w:p>
    <w:p w14:paraId="367CA39E">
      <w:pPr>
        <w:pageBreakBefore w:val="0"/>
        <w:kinsoku/>
        <w:wordWrap/>
        <w:overflowPunct/>
        <w:topLinePunct w:val="0"/>
        <w:autoSpaceDE/>
        <w:autoSpaceDN/>
        <w:bidi w:val="0"/>
        <w:adjustRightInd/>
        <w:spacing w:line="240" w:lineRule="auto"/>
        <w:textAlignment w:val="auto"/>
        <w:outlineLvl w:val="9"/>
        <w:rPr>
          <w:rFonts w:hint="eastAsia" w:ascii="仿宋" w:hAnsi="仿宋" w:eastAsia="仿宋" w:cs="仿宋"/>
          <w:b/>
          <w:color w:val="auto"/>
          <w:sz w:val="32"/>
          <w:szCs w:val="32"/>
        </w:rPr>
      </w:pPr>
    </w:p>
    <w:p w14:paraId="0D44A57F">
      <w:pPr>
        <w:pageBreakBefore w:val="0"/>
        <w:kinsoku/>
        <w:wordWrap/>
        <w:overflowPunct/>
        <w:topLinePunct w:val="0"/>
        <w:autoSpaceDE/>
        <w:autoSpaceDN/>
        <w:bidi w:val="0"/>
        <w:adjustRightInd/>
        <w:spacing w:line="240" w:lineRule="auto"/>
        <w:textAlignment w:val="auto"/>
        <w:outlineLvl w:val="9"/>
        <w:rPr>
          <w:rFonts w:hint="eastAsia" w:ascii="仿宋" w:hAnsi="仿宋" w:eastAsia="仿宋" w:cs="仿宋"/>
          <w:b/>
          <w:color w:val="auto"/>
          <w:sz w:val="32"/>
          <w:szCs w:val="32"/>
        </w:rPr>
      </w:pPr>
    </w:p>
    <w:p w14:paraId="199BB870">
      <w:pPr>
        <w:spacing w:line="240" w:lineRule="auto"/>
        <w:rPr>
          <w:rFonts w:ascii="仿宋" w:hAnsi="仿宋" w:eastAsia="仿宋" w:cs="仿宋"/>
          <w:b/>
          <w:color w:val="auto"/>
          <w:sz w:val="32"/>
          <w:szCs w:val="32"/>
        </w:rPr>
      </w:pPr>
      <w:r>
        <w:rPr>
          <w:rFonts w:hint="eastAsia" w:ascii="仿宋" w:hAnsi="仿宋" w:eastAsia="仿宋" w:cs="仿宋"/>
          <w:b/>
          <w:color w:val="auto"/>
          <w:sz w:val="32"/>
          <w:szCs w:val="32"/>
        </w:rPr>
        <w:t>四、供应商参加政府采购活动承诺书</w:t>
      </w:r>
      <w:bookmarkEnd w:id="463"/>
      <w:bookmarkEnd w:id="464"/>
      <w:bookmarkEnd w:id="465"/>
      <w:bookmarkEnd w:id="466"/>
      <w:bookmarkEnd w:id="467"/>
      <w:bookmarkEnd w:id="468"/>
      <w:bookmarkEnd w:id="469"/>
    </w:p>
    <w:p w14:paraId="3CBB69EA">
      <w:pPr>
        <w:spacing w:line="500" w:lineRule="exact"/>
        <w:ind w:firstLine="566" w:firstLineChars="200"/>
        <w:rPr>
          <w:color w:val="auto"/>
        </w:rPr>
      </w:pPr>
      <w:r>
        <w:rPr>
          <w:color w:val="auto"/>
        </w:rPr>
        <w:t>未签署下列承诺书的，其责任由</w:t>
      </w:r>
      <w:r>
        <w:rPr>
          <w:rFonts w:hint="eastAsia"/>
          <w:color w:val="auto"/>
        </w:rPr>
        <w:t>供应商</w:t>
      </w:r>
      <w:r>
        <w:rPr>
          <w:color w:val="auto"/>
        </w:rPr>
        <w:t>自行承担。</w:t>
      </w:r>
    </w:p>
    <w:p w14:paraId="263EA188">
      <w:pPr>
        <w:spacing w:before="190" w:beforeLines="50" w:line="500" w:lineRule="exact"/>
        <w:ind w:firstLine="566" w:firstLineChars="200"/>
        <w:rPr>
          <w:b/>
          <w:color w:val="auto"/>
        </w:rPr>
      </w:pPr>
      <w:bookmarkStart w:id="471" w:name="_Toc3534_WPSOffice_Level3"/>
      <w:r>
        <w:rPr>
          <w:rFonts w:hint="eastAsia"/>
          <w:b/>
          <w:color w:val="auto"/>
        </w:rPr>
        <w:t>（</w:t>
      </w:r>
      <w:r>
        <w:rPr>
          <w:b/>
          <w:color w:val="auto"/>
        </w:rPr>
        <w:t>一</w:t>
      </w:r>
      <w:r>
        <w:rPr>
          <w:rFonts w:hint="eastAsia"/>
          <w:b/>
          <w:color w:val="auto"/>
        </w:rPr>
        <w:t>）</w:t>
      </w:r>
      <w:r>
        <w:rPr>
          <w:b/>
          <w:color w:val="auto"/>
        </w:rPr>
        <w:t>质量安全责任承诺书</w:t>
      </w:r>
      <w:bookmarkEnd w:id="471"/>
    </w:p>
    <w:p w14:paraId="7376691E">
      <w:pPr>
        <w:spacing w:line="500" w:lineRule="exact"/>
        <w:ind w:firstLine="566" w:firstLineChars="200"/>
        <w:rPr>
          <w:color w:val="auto"/>
        </w:rPr>
      </w:pPr>
      <w:r>
        <w:rPr>
          <w:color w:val="auto"/>
        </w:rPr>
        <w:t>为保证本采购项目顺利进行，作为投标</w:t>
      </w:r>
      <w:r>
        <w:rPr>
          <w:rFonts w:hint="eastAsia"/>
          <w:color w:val="auto"/>
        </w:rPr>
        <w:t>供应商</w:t>
      </w:r>
      <w:r>
        <w:rPr>
          <w:color w:val="auto"/>
        </w:rPr>
        <w:t>，现郑重承诺：</w:t>
      </w:r>
    </w:p>
    <w:p w14:paraId="197E41B8">
      <w:pPr>
        <w:spacing w:line="500" w:lineRule="exact"/>
        <w:ind w:firstLine="566" w:firstLineChars="200"/>
        <w:rPr>
          <w:color w:val="auto"/>
        </w:rPr>
      </w:pPr>
      <w:r>
        <w:rPr>
          <w:color w:val="auto"/>
        </w:rPr>
        <w:t>1、我方投标产品的生产（包括设计、制造、安装、改造、维修等）、投入使用的材料等均完全符合国家现行</w:t>
      </w:r>
      <w:r>
        <w:rPr>
          <w:rFonts w:hint="eastAsia"/>
          <w:color w:val="auto"/>
        </w:rPr>
        <w:t>质量、安全、环保标准和要求。</w:t>
      </w:r>
    </w:p>
    <w:p w14:paraId="2AACAAFA">
      <w:pPr>
        <w:spacing w:line="500" w:lineRule="exact"/>
        <w:ind w:firstLine="566" w:firstLineChars="200"/>
        <w:rPr>
          <w:color w:val="auto"/>
        </w:rPr>
      </w:pPr>
      <w:r>
        <w:rPr>
          <w:color w:val="auto"/>
        </w:rPr>
        <w:t>2、我方将严格按照国家现行相关储存、运输、安装调试技术标准及规范、服务标准及规范、施工标准及规范，在规定的时限内，保质、保量完成项目全部内容，并向采购人交付合格产品。</w:t>
      </w:r>
    </w:p>
    <w:p w14:paraId="6B1FBD8F">
      <w:pPr>
        <w:spacing w:line="500" w:lineRule="exact"/>
        <w:ind w:firstLine="566" w:firstLineChars="200"/>
        <w:rPr>
          <w:color w:val="auto"/>
        </w:rPr>
      </w:pPr>
      <w:r>
        <w:rPr>
          <w:color w:val="auto"/>
        </w:rPr>
        <w:t>3、对于因产品生产质量以及储存、运输、安装调试、服务、施工等过程中产生的任何安全事故，我方承担全部责任。</w:t>
      </w:r>
    </w:p>
    <w:p w14:paraId="02076662">
      <w:pPr>
        <w:spacing w:line="500" w:lineRule="exact"/>
        <w:ind w:firstLine="566" w:firstLineChars="200"/>
        <w:rPr>
          <w:color w:val="auto"/>
        </w:rPr>
      </w:pPr>
      <w:r>
        <w:rPr>
          <w:color w:val="auto"/>
        </w:rPr>
        <w:t>4、我方提供的货物、工程、服务等符合现行的国家、行业、地区、企业标准及要求，标准不一致的，以更为严格的为准，我方对提供的货物、工程、服务等的质量、安全、环保等承担全部责任。</w:t>
      </w:r>
    </w:p>
    <w:p w14:paraId="00677014">
      <w:pPr>
        <w:spacing w:line="500" w:lineRule="exact"/>
        <w:ind w:firstLine="566" w:firstLineChars="200"/>
        <w:rPr>
          <w:color w:val="auto"/>
        </w:rPr>
      </w:pPr>
    </w:p>
    <w:p w14:paraId="0805E23F">
      <w:pPr>
        <w:spacing w:line="500" w:lineRule="exact"/>
        <w:ind w:firstLine="5094" w:firstLineChars="1800"/>
        <w:rPr>
          <w:color w:val="auto"/>
        </w:rPr>
      </w:pPr>
      <w:r>
        <w:rPr>
          <w:rFonts w:hint="eastAsia"/>
          <w:color w:val="auto"/>
        </w:rPr>
        <w:t>供应商</w:t>
      </w:r>
      <w:r>
        <w:rPr>
          <w:color w:val="auto"/>
        </w:rPr>
        <w:t>：</w:t>
      </w:r>
      <w:r>
        <w:rPr>
          <w:rFonts w:hint="eastAsia"/>
          <w:color w:val="auto"/>
          <w:u w:val="single"/>
        </w:rPr>
        <w:t>名称</w:t>
      </w:r>
      <w:r>
        <w:rPr>
          <w:color w:val="auto"/>
        </w:rPr>
        <w:t>（加盖公章）</w:t>
      </w:r>
    </w:p>
    <w:p w14:paraId="20F60F43">
      <w:pPr>
        <w:spacing w:line="500" w:lineRule="exact"/>
        <w:ind w:firstLine="566" w:firstLineChars="200"/>
        <w:rPr>
          <w:color w:val="auto"/>
        </w:rPr>
      </w:pPr>
      <w:r>
        <w:rPr>
          <w:rFonts w:hint="eastAsia"/>
          <w:color w:val="auto"/>
        </w:rPr>
        <w:t xml:space="preserve">                                  </w:t>
      </w:r>
      <w:r>
        <w:rPr>
          <w:color w:val="auto"/>
        </w:rPr>
        <w:t>日期：　　年　月　日</w:t>
      </w:r>
    </w:p>
    <w:p w14:paraId="51311C62">
      <w:pPr>
        <w:spacing w:line="500" w:lineRule="exact"/>
        <w:rPr>
          <w:color w:val="auto"/>
        </w:rPr>
      </w:pPr>
    </w:p>
    <w:p w14:paraId="0C5BF07D">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b/>
          <w:color w:val="auto"/>
        </w:rPr>
      </w:pPr>
      <w:r>
        <w:rPr>
          <w:rFonts w:hint="eastAsia"/>
          <w:b/>
          <w:color w:val="auto"/>
        </w:rPr>
        <w:br w:type="page"/>
      </w:r>
      <w:r>
        <w:rPr>
          <w:rFonts w:hint="eastAsia"/>
          <w:b/>
          <w:color w:val="auto"/>
        </w:rPr>
        <w:t>（</w:t>
      </w:r>
      <w:r>
        <w:rPr>
          <w:b/>
          <w:color w:val="auto"/>
        </w:rPr>
        <w:t>二</w:t>
      </w:r>
      <w:r>
        <w:rPr>
          <w:rFonts w:hint="eastAsia"/>
          <w:b/>
          <w:color w:val="auto"/>
        </w:rPr>
        <w:t>）拒绝政府采购领域商业贿赂承诺书</w:t>
      </w:r>
    </w:p>
    <w:p w14:paraId="2534132B">
      <w:pPr>
        <w:overflowPunct w:val="0"/>
        <w:topLinePunct/>
        <w:spacing w:line="440" w:lineRule="exact"/>
        <w:jc w:val="center"/>
        <w:rPr>
          <w:rFonts w:ascii="仿宋" w:hAnsi="仿宋" w:eastAsia="仿宋" w:cs="宋体-18030"/>
          <w:bCs/>
          <w:color w:val="auto"/>
        </w:rPr>
      </w:pPr>
      <w:r>
        <w:rPr>
          <w:rFonts w:hint="eastAsia" w:ascii="仿宋" w:hAnsi="仿宋" w:eastAsia="仿宋" w:cs="宋体-18030"/>
          <w:bCs/>
          <w:color w:val="auto"/>
        </w:rPr>
        <w:t>（执行陕财办采管[2006]21号文件）</w:t>
      </w:r>
    </w:p>
    <w:p w14:paraId="5EDDF9B1">
      <w:pPr>
        <w:spacing w:line="500" w:lineRule="exact"/>
        <w:ind w:firstLine="566" w:firstLineChars="200"/>
        <w:rPr>
          <w:color w:val="auto"/>
        </w:rPr>
      </w:pPr>
      <w:r>
        <w:rPr>
          <w:rFonts w:hint="eastAsia"/>
          <w:color w:val="auto"/>
        </w:rPr>
        <w:t>为响应党中央、国务院关于治理政府采购领域商业贿赂行为的号召，我公司在此庄严承诺：</w:t>
      </w:r>
    </w:p>
    <w:p w14:paraId="71CCFAE5">
      <w:pPr>
        <w:spacing w:line="500" w:lineRule="exact"/>
        <w:ind w:firstLine="566" w:firstLineChars="200"/>
        <w:rPr>
          <w:color w:val="auto"/>
        </w:rPr>
      </w:pPr>
      <w:r>
        <w:rPr>
          <w:rFonts w:hint="eastAsia"/>
          <w:color w:val="auto"/>
        </w:rPr>
        <w:t>1、在参与政府采购活动中遵纪守法、诚信经营、公平竞标。</w:t>
      </w:r>
    </w:p>
    <w:p w14:paraId="023274C5">
      <w:pPr>
        <w:spacing w:line="500" w:lineRule="exact"/>
        <w:ind w:firstLine="566" w:firstLineChars="200"/>
        <w:rPr>
          <w:color w:val="auto"/>
        </w:rPr>
      </w:pPr>
      <w:r>
        <w:rPr>
          <w:rFonts w:hint="eastAsia"/>
          <w:color w:val="auto"/>
        </w:rPr>
        <w:t>2、不向政府采购人、采购代理机构和政府采购评审专家进行任何形式的商业贿赂以谋取交易机会。</w:t>
      </w:r>
    </w:p>
    <w:p w14:paraId="27C003AA">
      <w:pPr>
        <w:spacing w:line="500" w:lineRule="exact"/>
        <w:ind w:firstLine="566" w:firstLineChars="200"/>
        <w:rPr>
          <w:color w:val="auto"/>
        </w:rPr>
      </w:pPr>
      <w:r>
        <w:rPr>
          <w:rFonts w:hint="eastAsia"/>
          <w:color w:val="auto"/>
        </w:rPr>
        <w:t>3、不向政府采购代理机构和采购人提供虚假资质文件或采用虚假应标方式参与政府采购市场竞争并谋取中标、成交。</w:t>
      </w:r>
    </w:p>
    <w:p w14:paraId="0EF61874">
      <w:pPr>
        <w:spacing w:line="500" w:lineRule="exact"/>
        <w:ind w:firstLine="566" w:firstLineChars="200"/>
        <w:rPr>
          <w:color w:val="auto"/>
        </w:rPr>
      </w:pPr>
      <w:r>
        <w:rPr>
          <w:rFonts w:hint="eastAsia"/>
          <w:color w:val="auto"/>
        </w:rPr>
        <w:t>4、不采取“围标、陪标”等商业欺诈手段获得政府采购定单。</w:t>
      </w:r>
    </w:p>
    <w:p w14:paraId="1D73B27A">
      <w:pPr>
        <w:spacing w:line="500" w:lineRule="exact"/>
        <w:ind w:firstLine="566" w:firstLineChars="200"/>
        <w:rPr>
          <w:color w:val="auto"/>
        </w:rPr>
      </w:pPr>
      <w:r>
        <w:rPr>
          <w:rFonts w:hint="eastAsia"/>
          <w:color w:val="auto"/>
        </w:rPr>
        <w:t>5、不采取不正当手段诋毁、排挤其他供应商。</w:t>
      </w:r>
    </w:p>
    <w:p w14:paraId="5D83D39F">
      <w:pPr>
        <w:spacing w:line="500" w:lineRule="exact"/>
        <w:ind w:firstLine="566" w:firstLineChars="200"/>
        <w:rPr>
          <w:color w:val="auto"/>
        </w:rPr>
      </w:pPr>
      <w:r>
        <w:rPr>
          <w:rFonts w:hint="eastAsia"/>
          <w:color w:val="auto"/>
        </w:rPr>
        <w:t>6、不在提供商品和服务时“偷梁换柱、以次充好”损害采购人的合法权益。</w:t>
      </w:r>
    </w:p>
    <w:p w14:paraId="330EC34E">
      <w:pPr>
        <w:spacing w:line="500" w:lineRule="exact"/>
        <w:ind w:firstLine="566" w:firstLineChars="200"/>
        <w:rPr>
          <w:color w:val="auto"/>
        </w:rPr>
      </w:pPr>
      <w:r>
        <w:rPr>
          <w:rFonts w:hint="eastAsia"/>
          <w:color w:val="auto"/>
        </w:rPr>
        <w:t>7、不与采购人、采购代理机构政府采购评审专家或其它供应商恶意串通，进行质疑和投诉，维护政府采购市场秩序。</w:t>
      </w:r>
    </w:p>
    <w:p w14:paraId="053DD6C3">
      <w:pPr>
        <w:spacing w:line="500" w:lineRule="exact"/>
        <w:ind w:firstLine="566" w:firstLineChars="200"/>
        <w:rPr>
          <w:color w:val="auto"/>
        </w:rPr>
      </w:pPr>
      <w:r>
        <w:rPr>
          <w:rFonts w:hint="eastAsia"/>
          <w:color w:val="auto"/>
        </w:rPr>
        <w:t>8、尊重和接受政府采购监督管理部门的监督和政府采购代理机构招标采购要求，承担因违约行为给采购人造成的损失。</w:t>
      </w:r>
    </w:p>
    <w:p w14:paraId="64F0DF25">
      <w:pPr>
        <w:spacing w:line="500" w:lineRule="exact"/>
        <w:ind w:firstLine="566" w:firstLineChars="200"/>
        <w:rPr>
          <w:color w:val="auto"/>
        </w:rPr>
      </w:pPr>
      <w:r>
        <w:rPr>
          <w:rFonts w:hint="eastAsia"/>
          <w:color w:val="auto"/>
        </w:rPr>
        <w:t>9、不发生其他有悖于政府采购公开、公平、公正和诚信原则的行为。</w:t>
      </w:r>
    </w:p>
    <w:p w14:paraId="476E463F">
      <w:pPr>
        <w:spacing w:line="500" w:lineRule="exact"/>
        <w:rPr>
          <w:color w:val="auto"/>
        </w:rPr>
      </w:pPr>
    </w:p>
    <w:p w14:paraId="7157A004">
      <w:pPr>
        <w:spacing w:line="500" w:lineRule="exact"/>
        <w:ind w:firstLine="5377" w:firstLineChars="1900"/>
        <w:rPr>
          <w:color w:val="auto"/>
        </w:rPr>
      </w:pPr>
      <w:r>
        <w:rPr>
          <w:rFonts w:hint="eastAsia"/>
          <w:color w:val="auto"/>
        </w:rPr>
        <w:t>供应商：</w:t>
      </w:r>
      <w:r>
        <w:rPr>
          <w:rFonts w:hint="eastAsia"/>
          <w:color w:val="auto"/>
          <w:u w:val="single"/>
        </w:rPr>
        <w:t>名称</w:t>
      </w:r>
      <w:r>
        <w:rPr>
          <w:rFonts w:hint="eastAsia"/>
          <w:color w:val="auto"/>
        </w:rPr>
        <w:t>（加盖公章）</w:t>
      </w:r>
    </w:p>
    <w:p w14:paraId="280D848A">
      <w:pPr>
        <w:spacing w:line="500" w:lineRule="exact"/>
        <w:ind w:firstLine="566" w:firstLineChars="200"/>
        <w:rPr>
          <w:color w:val="auto"/>
        </w:rPr>
      </w:pPr>
      <w:r>
        <w:rPr>
          <w:rFonts w:hint="eastAsia"/>
          <w:color w:val="auto"/>
        </w:rPr>
        <w:t xml:space="preserve">                                    日期：　 年　月　日</w:t>
      </w:r>
    </w:p>
    <w:p w14:paraId="2F601833">
      <w:pPr>
        <w:spacing w:line="500" w:lineRule="exact"/>
        <w:rPr>
          <w:rFonts w:ascii="仿宋" w:hAnsi="仿宋" w:eastAsia="仿宋"/>
          <w:b/>
          <w:color w:val="auto"/>
          <w:sz w:val="32"/>
          <w:szCs w:val="32"/>
        </w:rPr>
      </w:pPr>
      <w:r>
        <w:rPr>
          <w:rFonts w:hint="eastAsia"/>
          <w:color w:val="auto"/>
        </w:rPr>
        <w:br w:type="page"/>
      </w:r>
      <w:bookmarkStart w:id="472" w:name="_Toc16442_WPSOffice_Level2"/>
      <w:bookmarkStart w:id="473" w:name="_Toc16564_WPSOffice_Level2"/>
      <w:bookmarkStart w:id="474" w:name="_Toc10928_WPSOffice_Level2"/>
      <w:bookmarkStart w:id="475" w:name="_Toc27976_WPSOffice_Level2"/>
      <w:r>
        <w:rPr>
          <w:rFonts w:hint="eastAsia" w:ascii="仿宋" w:hAnsi="仿宋" w:eastAsia="仿宋" w:cs="仿宋"/>
          <w:b/>
          <w:color w:val="auto"/>
          <w:sz w:val="32"/>
          <w:szCs w:val="32"/>
        </w:rPr>
        <w:t>五、</w:t>
      </w:r>
      <w:r>
        <w:rPr>
          <w:rFonts w:ascii="仿宋" w:hAnsi="仿宋" w:eastAsia="仿宋"/>
          <w:b/>
          <w:color w:val="auto"/>
          <w:sz w:val="32"/>
          <w:szCs w:val="32"/>
        </w:rPr>
        <w:t>技术</w:t>
      </w:r>
      <w:r>
        <w:rPr>
          <w:rFonts w:hint="eastAsia" w:ascii="仿宋" w:hAnsi="仿宋" w:eastAsia="仿宋"/>
          <w:b/>
          <w:color w:val="auto"/>
          <w:sz w:val="32"/>
          <w:szCs w:val="32"/>
        </w:rPr>
        <w:t>服务偏差表</w:t>
      </w:r>
      <w:bookmarkEnd w:id="472"/>
      <w:bookmarkEnd w:id="473"/>
      <w:bookmarkEnd w:id="474"/>
      <w:bookmarkEnd w:id="475"/>
    </w:p>
    <w:tbl>
      <w:tblPr>
        <w:tblStyle w:val="23"/>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451"/>
        <w:gridCol w:w="1320"/>
        <w:gridCol w:w="1957"/>
      </w:tblGrid>
      <w:tr w14:paraId="4807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3715A8BD">
            <w:pPr>
              <w:spacing w:line="320" w:lineRule="exact"/>
              <w:jc w:val="center"/>
              <w:rPr>
                <w:rFonts w:ascii="仿宋" w:hAnsi="仿宋" w:eastAsia="仿宋"/>
                <w:b/>
                <w:color w:val="auto"/>
                <w:sz w:val="24"/>
                <w:szCs w:val="24"/>
              </w:rPr>
            </w:pPr>
            <w:r>
              <w:rPr>
                <w:rFonts w:ascii="仿宋" w:hAnsi="仿宋" w:eastAsia="仿宋"/>
                <w:b/>
                <w:color w:val="auto"/>
                <w:sz w:val="24"/>
                <w:szCs w:val="24"/>
              </w:rPr>
              <w:t>序号</w:t>
            </w:r>
          </w:p>
        </w:tc>
        <w:tc>
          <w:tcPr>
            <w:tcW w:w="1698" w:type="dxa"/>
            <w:shd w:val="clear" w:color="auto" w:fill="D8D8D8"/>
            <w:vAlign w:val="center"/>
          </w:tcPr>
          <w:p w14:paraId="0093B944">
            <w:pPr>
              <w:spacing w:line="320" w:lineRule="exact"/>
              <w:jc w:val="center"/>
              <w:rPr>
                <w:rFonts w:ascii="仿宋" w:hAnsi="仿宋" w:eastAsia="仿宋"/>
                <w:b/>
                <w:color w:val="auto"/>
                <w:sz w:val="24"/>
                <w:szCs w:val="24"/>
              </w:rPr>
            </w:pPr>
            <w:r>
              <w:rPr>
                <w:rFonts w:hint="eastAsia" w:ascii="仿宋" w:hAnsi="仿宋" w:eastAsia="仿宋"/>
                <w:b/>
                <w:color w:val="auto"/>
                <w:sz w:val="24"/>
                <w:szCs w:val="24"/>
              </w:rPr>
              <w:t>磋商</w:t>
            </w:r>
            <w:r>
              <w:rPr>
                <w:rFonts w:ascii="仿宋" w:hAnsi="仿宋" w:eastAsia="仿宋"/>
                <w:b/>
                <w:color w:val="auto"/>
                <w:sz w:val="24"/>
                <w:szCs w:val="24"/>
              </w:rPr>
              <w:t>文件</w:t>
            </w:r>
            <w:r>
              <w:rPr>
                <w:rFonts w:hint="eastAsia" w:ascii="仿宋" w:hAnsi="仿宋" w:eastAsia="仿宋"/>
                <w:b/>
                <w:color w:val="auto"/>
                <w:sz w:val="24"/>
                <w:szCs w:val="24"/>
              </w:rPr>
              <w:t>要求</w:t>
            </w:r>
          </w:p>
        </w:tc>
        <w:tc>
          <w:tcPr>
            <w:tcW w:w="3451" w:type="dxa"/>
            <w:shd w:val="clear" w:color="auto" w:fill="D8D8D8"/>
            <w:vAlign w:val="center"/>
          </w:tcPr>
          <w:p w14:paraId="76AA9530">
            <w:pPr>
              <w:spacing w:line="320" w:lineRule="exact"/>
              <w:jc w:val="center"/>
              <w:rPr>
                <w:rFonts w:ascii="仿宋" w:hAnsi="仿宋" w:eastAsia="仿宋"/>
                <w:b/>
                <w:color w:val="auto"/>
                <w:sz w:val="24"/>
                <w:szCs w:val="24"/>
              </w:rPr>
            </w:pPr>
            <w:r>
              <w:rPr>
                <w:rFonts w:hint="eastAsia" w:ascii="仿宋" w:hAnsi="仿宋" w:eastAsia="仿宋"/>
                <w:b/>
                <w:color w:val="auto"/>
                <w:sz w:val="24"/>
                <w:szCs w:val="24"/>
              </w:rPr>
              <w:t>响应</w:t>
            </w:r>
            <w:r>
              <w:rPr>
                <w:rFonts w:ascii="仿宋" w:hAnsi="仿宋" w:eastAsia="仿宋"/>
                <w:b/>
                <w:color w:val="auto"/>
                <w:sz w:val="24"/>
                <w:szCs w:val="24"/>
              </w:rPr>
              <w:t>文件</w:t>
            </w:r>
            <w:r>
              <w:rPr>
                <w:rFonts w:hint="eastAsia" w:ascii="仿宋" w:hAnsi="仿宋" w:eastAsia="仿宋"/>
                <w:b/>
                <w:color w:val="auto"/>
                <w:sz w:val="24"/>
                <w:szCs w:val="24"/>
              </w:rPr>
              <w:t>响应</w:t>
            </w:r>
            <w:r>
              <w:rPr>
                <w:rFonts w:ascii="仿宋" w:hAnsi="仿宋" w:eastAsia="仿宋"/>
                <w:b/>
                <w:color w:val="auto"/>
                <w:sz w:val="24"/>
                <w:szCs w:val="24"/>
              </w:rPr>
              <w:t>条款</w:t>
            </w:r>
          </w:p>
        </w:tc>
        <w:tc>
          <w:tcPr>
            <w:tcW w:w="1320" w:type="dxa"/>
            <w:shd w:val="clear" w:color="auto" w:fill="D8D8D8"/>
            <w:vAlign w:val="center"/>
          </w:tcPr>
          <w:p w14:paraId="037F9B9B">
            <w:pPr>
              <w:spacing w:line="320" w:lineRule="exact"/>
              <w:jc w:val="center"/>
              <w:rPr>
                <w:rFonts w:ascii="仿宋" w:hAnsi="仿宋" w:eastAsia="仿宋"/>
                <w:b/>
                <w:color w:val="auto"/>
                <w:sz w:val="24"/>
                <w:szCs w:val="24"/>
              </w:rPr>
            </w:pPr>
            <w:r>
              <w:rPr>
                <w:rFonts w:hint="eastAsia" w:ascii="仿宋" w:hAnsi="仿宋" w:eastAsia="仿宋"/>
                <w:b/>
                <w:color w:val="auto"/>
                <w:sz w:val="24"/>
                <w:szCs w:val="24"/>
              </w:rPr>
              <w:t>偏离程度</w:t>
            </w:r>
          </w:p>
        </w:tc>
        <w:tc>
          <w:tcPr>
            <w:tcW w:w="1957" w:type="dxa"/>
            <w:shd w:val="clear" w:color="auto" w:fill="D8D8D8"/>
            <w:vAlign w:val="center"/>
          </w:tcPr>
          <w:p w14:paraId="5D8DDE81">
            <w:pPr>
              <w:spacing w:line="320" w:lineRule="exact"/>
              <w:jc w:val="center"/>
              <w:rPr>
                <w:rFonts w:ascii="仿宋" w:hAnsi="仿宋" w:eastAsia="仿宋"/>
                <w:b/>
                <w:color w:val="auto"/>
                <w:sz w:val="24"/>
                <w:szCs w:val="24"/>
              </w:rPr>
            </w:pPr>
            <w:r>
              <w:rPr>
                <w:rFonts w:hint="eastAsia" w:ascii="仿宋" w:hAnsi="仿宋" w:eastAsia="仿宋"/>
                <w:b/>
                <w:color w:val="auto"/>
                <w:sz w:val="24"/>
                <w:szCs w:val="24"/>
              </w:rPr>
              <w:t>偏离简述</w:t>
            </w:r>
          </w:p>
          <w:p w14:paraId="3C05F4F3">
            <w:pPr>
              <w:spacing w:line="320" w:lineRule="exact"/>
              <w:jc w:val="center"/>
              <w:rPr>
                <w:rFonts w:ascii="仿宋" w:hAnsi="仿宋" w:eastAsia="仿宋"/>
                <w:b/>
                <w:color w:val="auto"/>
                <w:sz w:val="24"/>
                <w:szCs w:val="24"/>
              </w:rPr>
            </w:pPr>
            <w:r>
              <w:rPr>
                <w:rFonts w:hint="eastAsia" w:ascii="仿宋" w:hAnsi="仿宋" w:eastAsia="仿宋"/>
                <w:b/>
                <w:color w:val="auto"/>
                <w:sz w:val="24"/>
                <w:szCs w:val="24"/>
              </w:rPr>
              <w:t>或相关证明材料</w:t>
            </w:r>
          </w:p>
        </w:tc>
      </w:tr>
      <w:tr w14:paraId="549E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2E2678A">
            <w:pPr>
              <w:spacing w:line="440" w:lineRule="exact"/>
              <w:rPr>
                <w:rFonts w:ascii="仿宋" w:hAnsi="仿宋" w:eastAsia="仿宋"/>
                <w:color w:val="auto"/>
                <w:sz w:val="24"/>
                <w:szCs w:val="24"/>
              </w:rPr>
            </w:pPr>
            <w:r>
              <w:rPr>
                <w:rFonts w:hint="eastAsia" w:ascii="仿宋" w:hAnsi="仿宋" w:eastAsia="仿宋"/>
                <w:color w:val="auto"/>
                <w:sz w:val="24"/>
                <w:szCs w:val="24"/>
              </w:rPr>
              <w:t>1</w:t>
            </w:r>
          </w:p>
        </w:tc>
        <w:tc>
          <w:tcPr>
            <w:tcW w:w="1698" w:type="dxa"/>
            <w:vAlign w:val="center"/>
          </w:tcPr>
          <w:p w14:paraId="248D8215">
            <w:pPr>
              <w:spacing w:line="440" w:lineRule="exact"/>
              <w:rPr>
                <w:rFonts w:ascii="仿宋" w:hAnsi="仿宋" w:eastAsia="仿宋"/>
                <w:color w:val="auto"/>
                <w:sz w:val="24"/>
                <w:szCs w:val="24"/>
              </w:rPr>
            </w:pPr>
          </w:p>
        </w:tc>
        <w:tc>
          <w:tcPr>
            <w:tcW w:w="3451" w:type="dxa"/>
            <w:vAlign w:val="center"/>
          </w:tcPr>
          <w:p w14:paraId="0C405AC2">
            <w:pPr>
              <w:spacing w:line="440" w:lineRule="exact"/>
              <w:rPr>
                <w:rFonts w:ascii="仿宋" w:hAnsi="仿宋" w:eastAsia="仿宋"/>
                <w:color w:val="auto"/>
                <w:sz w:val="24"/>
                <w:szCs w:val="24"/>
              </w:rPr>
            </w:pPr>
          </w:p>
        </w:tc>
        <w:tc>
          <w:tcPr>
            <w:tcW w:w="1320" w:type="dxa"/>
            <w:vAlign w:val="center"/>
          </w:tcPr>
          <w:p w14:paraId="4F5999B9">
            <w:pPr>
              <w:spacing w:line="440" w:lineRule="exact"/>
              <w:rPr>
                <w:rFonts w:ascii="仿宋" w:hAnsi="仿宋" w:eastAsia="仿宋"/>
                <w:color w:val="auto"/>
                <w:sz w:val="24"/>
                <w:szCs w:val="24"/>
              </w:rPr>
            </w:pPr>
          </w:p>
        </w:tc>
        <w:tc>
          <w:tcPr>
            <w:tcW w:w="1957" w:type="dxa"/>
            <w:vAlign w:val="center"/>
          </w:tcPr>
          <w:p w14:paraId="7588E4E3">
            <w:pPr>
              <w:spacing w:line="440" w:lineRule="exact"/>
              <w:rPr>
                <w:rFonts w:ascii="仿宋" w:hAnsi="仿宋" w:eastAsia="仿宋"/>
                <w:color w:val="auto"/>
                <w:sz w:val="24"/>
                <w:szCs w:val="24"/>
              </w:rPr>
            </w:pPr>
          </w:p>
        </w:tc>
      </w:tr>
      <w:tr w14:paraId="1D80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2018A0C">
            <w:pPr>
              <w:spacing w:line="440" w:lineRule="exact"/>
              <w:rPr>
                <w:rFonts w:ascii="仿宋" w:hAnsi="仿宋" w:eastAsia="仿宋"/>
                <w:color w:val="auto"/>
                <w:sz w:val="24"/>
                <w:szCs w:val="24"/>
              </w:rPr>
            </w:pPr>
            <w:r>
              <w:rPr>
                <w:rFonts w:hint="eastAsia" w:ascii="仿宋" w:hAnsi="仿宋" w:eastAsia="仿宋"/>
                <w:color w:val="auto"/>
                <w:sz w:val="24"/>
                <w:szCs w:val="24"/>
              </w:rPr>
              <w:t>2</w:t>
            </w:r>
          </w:p>
        </w:tc>
        <w:tc>
          <w:tcPr>
            <w:tcW w:w="1698" w:type="dxa"/>
            <w:vAlign w:val="center"/>
          </w:tcPr>
          <w:p w14:paraId="3ADF2150">
            <w:pPr>
              <w:spacing w:line="440" w:lineRule="exact"/>
              <w:rPr>
                <w:rFonts w:ascii="仿宋" w:hAnsi="仿宋" w:eastAsia="仿宋"/>
                <w:color w:val="auto"/>
                <w:sz w:val="24"/>
                <w:szCs w:val="24"/>
              </w:rPr>
            </w:pPr>
          </w:p>
        </w:tc>
        <w:tc>
          <w:tcPr>
            <w:tcW w:w="3451" w:type="dxa"/>
            <w:vAlign w:val="center"/>
          </w:tcPr>
          <w:p w14:paraId="603EEED6">
            <w:pPr>
              <w:spacing w:line="440" w:lineRule="exact"/>
              <w:rPr>
                <w:rFonts w:ascii="仿宋" w:hAnsi="仿宋" w:eastAsia="仿宋"/>
                <w:color w:val="auto"/>
                <w:sz w:val="24"/>
                <w:szCs w:val="24"/>
              </w:rPr>
            </w:pPr>
          </w:p>
        </w:tc>
        <w:tc>
          <w:tcPr>
            <w:tcW w:w="1320" w:type="dxa"/>
            <w:vAlign w:val="center"/>
          </w:tcPr>
          <w:p w14:paraId="55DA1C77">
            <w:pPr>
              <w:spacing w:line="440" w:lineRule="exact"/>
              <w:rPr>
                <w:rFonts w:ascii="仿宋" w:hAnsi="仿宋" w:eastAsia="仿宋"/>
                <w:color w:val="auto"/>
                <w:sz w:val="24"/>
                <w:szCs w:val="24"/>
              </w:rPr>
            </w:pPr>
          </w:p>
        </w:tc>
        <w:tc>
          <w:tcPr>
            <w:tcW w:w="1957" w:type="dxa"/>
            <w:vAlign w:val="center"/>
          </w:tcPr>
          <w:p w14:paraId="663CF62F">
            <w:pPr>
              <w:spacing w:line="440" w:lineRule="exact"/>
              <w:rPr>
                <w:rFonts w:ascii="仿宋" w:hAnsi="仿宋" w:eastAsia="仿宋"/>
                <w:color w:val="auto"/>
                <w:sz w:val="24"/>
                <w:szCs w:val="24"/>
              </w:rPr>
            </w:pPr>
          </w:p>
        </w:tc>
      </w:tr>
      <w:tr w14:paraId="59D1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43DB2C45">
            <w:pPr>
              <w:spacing w:line="440" w:lineRule="exact"/>
              <w:rPr>
                <w:rFonts w:ascii="仿宋" w:hAnsi="仿宋" w:eastAsia="仿宋"/>
                <w:color w:val="auto"/>
                <w:sz w:val="24"/>
                <w:szCs w:val="24"/>
              </w:rPr>
            </w:pPr>
            <w:r>
              <w:rPr>
                <w:rFonts w:hint="eastAsia" w:ascii="仿宋" w:hAnsi="仿宋" w:eastAsia="仿宋"/>
                <w:color w:val="auto"/>
                <w:sz w:val="24"/>
                <w:szCs w:val="24"/>
              </w:rPr>
              <w:t>3</w:t>
            </w:r>
          </w:p>
        </w:tc>
        <w:tc>
          <w:tcPr>
            <w:tcW w:w="1698" w:type="dxa"/>
            <w:vAlign w:val="center"/>
          </w:tcPr>
          <w:p w14:paraId="41169F5F">
            <w:pPr>
              <w:spacing w:line="440" w:lineRule="exact"/>
              <w:rPr>
                <w:rFonts w:ascii="仿宋" w:hAnsi="仿宋" w:eastAsia="仿宋"/>
                <w:color w:val="auto"/>
                <w:sz w:val="24"/>
                <w:szCs w:val="24"/>
              </w:rPr>
            </w:pPr>
          </w:p>
        </w:tc>
        <w:tc>
          <w:tcPr>
            <w:tcW w:w="3451" w:type="dxa"/>
            <w:vAlign w:val="center"/>
          </w:tcPr>
          <w:p w14:paraId="378481EC">
            <w:pPr>
              <w:spacing w:line="440" w:lineRule="exact"/>
              <w:rPr>
                <w:rFonts w:ascii="仿宋" w:hAnsi="仿宋" w:eastAsia="仿宋"/>
                <w:color w:val="auto"/>
                <w:sz w:val="24"/>
                <w:szCs w:val="24"/>
              </w:rPr>
            </w:pPr>
          </w:p>
        </w:tc>
        <w:tc>
          <w:tcPr>
            <w:tcW w:w="1320" w:type="dxa"/>
            <w:vAlign w:val="center"/>
          </w:tcPr>
          <w:p w14:paraId="04231D89">
            <w:pPr>
              <w:spacing w:line="440" w:lineRule="exact"/>
              <w:rPr>
                <w:rFonts w:ascii="仿宋" w:hAnsi="仿宋" w:eastAsia="仿宋"/>
                <w:color w:val="auto"/>
                <w:sz w:val="24"/>
                <w:szCs w:val="24"/>
              </w:rPr>
            </w:pPr>
          </w:p>
        </w:tc>
        <w:tc>
          <w:tcPr>
            <w:tcW w:w="1957" w:type="dxa"/>
            <w:vAlign w:val="center"/>
          </w:tcPr>
          <w:p w14:paraId="28C93146">
            <w:pPr>
              <w:spacing w:line="440" w:lineRule="exact"/>
              <w:rPr>
                <w:rFonts w:ascii="仿宋" w:hAnsi="仿宋" w:eastAsia="仿宋"/>
                <w:color w:val="auto"/>
                <w:sz w:val="24"/>
                <w:szCs w:val="24"/>
              </w:rPr>
            </w:pPr>
          </w:p>
        </w:tc>
      </w:tr>
      <w:tr w14:paraId="6D8D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4A202B53">
            <w:pPr>
              <w:spacing w:line="440" w:lineRule="exact"/>
              <w:rPr>
                <w:rFonts w:ascii="仿宋" w:hAnsi="仿宋" w:eastAsia="仿宋"/>
                <w:color w:val="auto"/>
                <w:sz w:val="24"/>
                <w:szCs w:val="24"/>
              </w:rPr>
            </w:pPr>
          </w:p>
        </w:tc>
        <w:tc>
          <w:tcPr>
            <w:tcW w:w="1698" w:type="dxa"/>
            <w:vAlign w:val="center"/>
          </w:tcPr>
          <w:p w14:paraId="4998CEC3">
            <w:pPr>
              <w:spacing w:line="440" w:lineRule="exact"/>
              <w:rPr>
                <w:rFonts w:ascii="仿宋" w:hAnsi="仿宋" w:eastAsia="仿宋"/>
                <w:color w:val="auto"/>
                <w:sz w:val="24"/>
                <w:szCs w:val="24"/>
              </w:rPr>
            </w:pPr>
          </w:p>
        </w:tc>
        <w:tc>
          <w:tcPr>
            <w:tcW w:w="3451" w:type="dxa"/>
            <w:vAlign w:val="center"/>
          </w:tcPr>
          <w:p w14:paraId="7FF72CAD">
            <w:pPr>
              <w:spacing w:line="440" w:lineRule="exact"/>
              <w:rPr>
                <w:rFonts w:ascii="仿宋" w:hAnsi="仿宋" w:eastAsia="仿宋"/>
                <w:color w:val="auto"/>
                <w:sz w:val="24"/>
                <w:szCs w:val="24"/>
              </w:rPr>
            </w:pPr>
          </w:p>
        </w:tc>
        <w:tc>
          <w:tcPr>
            <w:tcW w:w="1320" w:type="dxa"/>
            <w:vAlign w:val="center"/>
          </w:tcPr>
          <w:p w14:paraId="42BE1F78">
            <w:pPr>
              <w:spacing w:line="440" w:lineRule="exact"/>
              <w:rPr>
                <w:rFonts w:ascii="仿宋" w:hAnsi="仿宋" w:eastAsia="仿宋"/>
                <w:color w:val="auto"/>
                <w:sz w:val="24"/>
                <w:szCs w:val="24"/>
              </w:rPr>
            </w:pPr>
          </w:p>
        </w:tc>
        <w:tc>
          <w:tcPr>
            <w:tcW w:w="1957" w:type="dxa"/>
            <w:vAlign w:val="center"/>
          </w:tcPr>
          <w:p w14:paraId="183D33C4">
            <w:pPr>
              <w:spacing w:line="440" w:lineRule="exact"/>
              <w:rPr>
                <w:rFonts w:ascii="仿宋" w:hAnsi="仿宋" w:eastAsia="仿宋"/>
                <w:color w:val="auto"/>
                <w:sz w:val="24"/>
                <w:szCs w:val="24"/>
              </w:rPr>
            </w:pPr>
          </w:p>
        </w:tc>
      </w:tr>
      <w:tr w14:paraId="2D46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B435C4C">
            <w:pPr>
              <w:spacing w:line="440" w:lineRule="exact"/>
              <w:rPr>
                <w:rFonts w:ascii="仿宋" w:hAnsi="仿宋" w:eastAsia="仿宋"/>
                <w:color w:val="auto"/>
                <w:sz w:val="24"/>
                <w:szCs w:val="24"/>
              </w:rPr>
            </w:pPr>
          </w:p>
        </w:tc>
        <w:tc>
          <w:tcPr>
            <w:tcW w:w="1698" w:type="dxa"/>
            <w:vAlign w:val="center"/>
          </w:tcPr>
          <w:p w14:paraId="709BF5B8">
            <w:pPr>
              <w:spacing w:line="440" w:lineRule="exact"/>
              <w:rPr>
                <w:rFonts w:ascii="仿宋" w:hAnsi="仿宋" w:eastAsia="仿宋"/>
                <w:color w:val="auto"/>
                <w:sz w:val="24"/>
                <w:szCs w:val="24"/>
              </w:rPr>
            </w:pPr>
          </w:p>
        </w:tc>
        <w:tc>
          <w:tcPr>
            <w:tcW w:w="3451" w:type="dxa"/>
            <w:vAlign w:val="center"/>
          </w:tcPr>
          <w:p w14:paraId="7F33C985">
            <w:pPr>
              <w:spacing w:line="440" w:lineRule="exact"/>
              <w:rPr>
                <w:rFonts w:ascii="仿宋" w:hAnsi="仿宋" w:eastAsia="仿宋"/>
                <w:color w:val="auto"/>
                <w:sz w:val="24"/>
                <w:szCs w:val="24"/>
              </w:rPr>
            </w:pPr>
          </w:p>
        </w:tc>
        <w:tc>
          <w:tcPr>
            <w:tcW w:w="1320" w:type="dxa"/>
            <w:vAlign w:val="center"/>
          </w:tcPr>
          <w:p w14:paraId="16E1F60F">
            <w:pPr>
              <w:spacing w:line="440" w:lineRule="exact"/>
              <w:rPr>
                <w:rFonts w:ascii="仿宋" w:hAnsi="仿宋" w:eastAsia="仿宋"/>
                <w:color w:val="auto"/>
                <w:sz w:val="24"/>
                <w:szCs w:val="24"/>
              </w:rPr>
            </w:pPr>
          </w:p>
        </w:tc>
        <w:tc>
          <w:tcPr>
            <w:tcW w:w="1957" w:type="dxa"/>
            <w:vAlign w:val="center"/>
          </w:tcPr>
          <w:p w14:paraId="2EC47617">
            <w:pPr>
              <w:spacing w:line="440" w:lineRule="exact"/>
              <w:rPr>
                <w:rFonts w:ascii="仿宋" w:hAnsi="仿宋" w:eastAsia="仿宋"/>
                <w:color w:val="auto"/>
                <w:sz w:val="24"/>
                <w:szCs w:val="24"/>
              </w:rPr>
            </w:pPr>
          </w:p>
        </w:tc>
      </w:tr>
      <w:tr w14:paraId="1DA8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191080B8">
            <w:pPr>
              <w:spacing w:line="440" w:lineRule="exact"/>
              <w:rPr>
                <w:rFonts w:ascii="仿宋" w:hAnsi="仿宋" w:eastAsia="仿宋"/>
                <w:color w:val="auto"/>
                <w:sz w:val="24"/>
                <w:szCs w:val="24"/>
              </w:rPr>
            </w:pPr>
          </w:p>
        </w:tc>
        <w:tc>
          <w:tcPr>
            <w:tcW w:w="1698" w:type="dxa"/>
            <w:vAlign w:val="center"/>
          </w:tcPr>
          <w:p w14:paraId="13221892">
            <w:pPr>
              <w:spacing w:line="440" w:lineRule="exact"/>
              <w:rPr>
                <w:rFonts w:ascii="仿宋" w:hAnsi="仿宋" w:eastAsia="仿宋"/>
                <w:color w:val="auto"/>
                <w:sz w:val="24"/>
                <w:szCs w:val="24"/>
              </w:rPr>
            </w:pPr>
          </w:p>
        </w:tc>
        <w:tc>
          <w:tcPr>
            <w:tcW w:w="3451" w:type="dxa"/>
            <w:vAlign w:val="center"/>
          </w:tcPr>
          <w:p w14:paraId="1800F621">
            <w:pPr>
              <w:spacing w:line="440" w:lineRule="exact"/>
              <w:rPr>
                <w:rFonts w:ascii="仿宋" w:hAnsi="仿宋" w:eastAsia="仿宋"/>
                <w:color w:val="auto"/>
                <w:sz w:val="24"/>
                <w:szCs w:val="24"/>
              </w:rPr>
            </w:pPr>
          </w:p>
        </w:tc>
        <w:tc>
          <w:tcPr>
            <w:tcW w:w="1320" w:type="dxa"/>
            <w:vAlign w:val="center"/>
          </w:tcPr>
          <w:p w14:paraId="6518B9FD">
            <w:pPr>
              <w:spacing w:line="440" w:lineRule="exact"/>
              <w:rPr>
                <w:rFonts w:ascii="仿宋" w:hAnsi="仿宋" w:eastAsia="仿宋"/>
                <w:color w:val="auto"/>
                <w:sz w:val="24"/>
                <w:szCs w:val="24"/>
              </w:rPr>
            </w:pPr>
          </w:p>
        </w:tc>
        <w:tc>
          <w:tcPr>
            <w:tcW w:w="1957" w:type="dxa"/>
            <w:vAlign w:val="center"/>
          </w:tcPr>
          <w:p w14:paraId="13CCA296">
            <w:pPr>
              <w:spacing w:line="440" w:lineRule="exact"/>
              <w:rPr>
                <w:rFonts w:ascii="仿宋" w:hAnsi="仿宋" w:eastAsia="仿宋"/>
                <w:color w:val="auto"/>
                <w:sz w:val="24"/>
                <w:szCs w:val="24"/>
              </w:rPr>
            </w:pPr>
          </w:p>
        </w:tc>
      </w:tr>
      <w:tr w14:paraId="3501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4A422FE">
            <w:pPr>
              <w:spacing w:line="440" w:lineRule="exact"/>
              <w:rPr>
                <w:rFonts w:ascii="仿宋" w:hAnsi="仿宋" w:eastAsia="仿宋"/>
                <w:color w:val="auto"/>
                <w:sz w:val="24"/>
                <w:szCs w:val="24"/>
              </w:rPr>
            </w:pPr>
            <w:r>
              <w:rPr>
                <w:rFonts w:hint="eastAsia" w:ascii="仿宋" w:hAnsi="仿宋" w:eastAsia="仿宋"/>
                <w:color w:val="auto"/>
                <w:sz w:val="24"/>
                <w:szCs w:val="24"/>
              </w:rPr>
              <w:t>……</w:t>
            </w:r>
          </w:p>
        </w:tc>
        <w:tc>
          <w:tcPr>
            <w:tcW w:w="1698" w:type="dxa"/>
            <w:vAlign w:val="center"/>
          </w:tcPr>
          <w:p w14:paraId="39265A4C">
            <w:pPr>
              <w:spacing w:line="440" w:lineRule="exact"/>
              <w:rPr>
                <w:rFonts w:ascii="仿宋" w:hAnsi="仿宋" w:eastAsia="仿宋"/>
                <w:color w:val="auto"/>
                <w:sz w:val="24"/>
                <w:szCs w:val="24"/>
              </w:rPr>
            </w:pPr>
          </w:p>
        </w:tc>
        <w:tc>
          <w:tcPr>
            <w:tcW w:w="3451" w:type="dxa"/>
            <w:vAlign w:val="center"/>
          </w:tcPr>
          <w:p w14:paraId="36D28A91">
            <w:pPr>
              <w:spacing w:line="440" w:lineRule="exact"/>
              <w:rPr>
                <w:rFonts w:ascii="仿宋" w:hAnsi="仿宋" w:eastAsia="仿宋"/>
                <w:color w:val="auto"/>
                <w:sz w:val="24"/>
                <w:szCs w:val="24"/>
              </w:rPr>
            </w:pPr>
          </w:p>
        </w:tc>
        <w:tc>
          <w:tcPr>
            <w:tcW w:w="1320" w:type="dxa"/>
            <w:vAlign w:val="center"/>
          </w:tcPr>
          <w:p w14:paraId="5C8E0425">
            <w:pPr>
              <w:spacing w:line="440" w:lineRule="exact"/>
              <w:rPr>
                <w:rFonts w:ascii="仿宋" w:hAnsi="仿宋" w:eastAsia="仿宋"/>
                <w:color w:val="auto"/>
                <w:sz w:val="24"/>
                <w:szCs w:val="24"/>
              </w:rPr>
            </w:pPr>
          </w:p>
        </w:tc>
        <w:tc>
          <w:tcPr>
            <w:tcW w:w="1957" w:type="dxa"/>
            <w:vAlign w:val="center"/>
          </w:tcPr>
          <w:p w14:paraId="4D72846D">
            <w:pPr>
              <w:spacing w:line="440" w:lineRule="exact"/>
              <w:rPr>
                <w:rFonts w:ascii="仿宋" w:hAnsi="仿宋" w:eastAsia="仿宋"/>
                <w:color w:val="auto"/>
                <w:sz w:val="24"/>
                <w:szCs w:val="24"/>
              </w:rPr>
            </w:pPr>
          </w:p>
        </w:tc>
      </w:tr>
    </w:tbl>
    <w:p w14:paraId="0914CB43">
      <w:pPr>
        <w:tabs>
          <w:tab w:val="right" w:pos="9070"/>
        </w:tabs>
        <w:spacing w:line="240" w:lineRule="auto"/>
        <w:rPr>
          <w:rFonts w:ascii="华文仿宋" w:hAnsi="华文仿宋" w:cs="华文仿宋"/>
          <w:color w:val="auto"/>
          <w:sz w:val="24"/>
          <w:szCs w:val="24"/>
        </w:rPr>
      </w:pPr>
      <w:r>
        <w:rPr>
          <w:rFonts w:hint="eastAsia" w:ascii="华文仿宋" w:hAnsi="华文仿宋" w:cs="华文仿宋"/>
          <w:color w:val="auto"/>
          <w:sz w:val="24"/>
          <w:szCs w:val="24"/>
        </w:rPr>
        <w:t>备注：1、填写此表时以第三章“磋商内容及采购要求”各条款为基本响应要求，满足磋商文件要求的，“偏离程度”注明“0”，无需填写“偏离简述”项。超出、不满足磋商文件要求的，列出“+”、“-”偏差，并在“偏离简述”项做出详细说明；如果“偏离程度”项未填写，将视为该项指标未响应。</w:t>
      </w:r>
    </w:p>
    <w:p w14:paraId="54634A82">
      <w:pPr>
        <w:spacing w:line="240" w:lineRule="auto"/>
        <w:ind w:left="1" w:firstLine="607" w:firstLineChars="250"/>
        <w:rPr>
          <w:rFonts w:ascii="宋体" w:hAnsi="宋体" w:eastAsia="宋体" w:cs="宋体"/>
          <w:color w:val="auto"/>
          <w:sz w:val="21"/>
          <w:szCs w:val="21"/>
        </w:rPr>
      </w:pPr>
      <w:r>
        <w:rPr>
          <w:rFonts w:hint="eastAsia" w:ascii="华文仿宋" w:hAnsi="华文仿宋" w:cs="华文仿宋"/>
          <w:color w:val="auto"/>
          <w:sz w:val="24"/>
          <w:szCs w:val="24"/>
        </w:rPr>
        <w:t>2、“响应文件响应条款”必须与响应文件中提供的证明材料的实质性响应情况相一致。若在评审环节发现该项与响应文件证明材料的实质性响应情况不一致，按无效响应处理。</w:t>
      </w:r>
    </w:p>
    <w:p w14:paraId="11AD1F46">
      <w:pPr>
        <w:spacing w:line="500" w:lineRule="exact"/>
        <w:ind w:firstLine="566" w:firstLineChars="200"/>
        <w:rPr>
          <w:color w:val="auto"/>
        </w:rPr>
      </w:pPr>
      <w:bookmarkStart w:id="476" w:name="_Toc5795_WPSOffice_Level1"/>
      <w:bookmarkStart w:id="477" w:name="_Toc31624_WPSOffice_Level1"/>
      <w:bookmarkStart w:id="478" w:name="_Toc9021_WPSOffice_Level1"/>
    </w:p>
    <w:p w14:paraId="1ACFC014">
      <w:pPr>
        <w:spacing w:line="500" w:lineRule="exact"/>
        <w:ind w:firstLine="5094" w:firstLineChars="1800"/>
        <w:rPr>
          <w:rFonts w:ascii="仿宋" w:hAnsi="仿宋" w:eastAsia="仿宋" w:cs="仿宋"/>
          <w:color w:val="auto"/>
        </w:rPr>
      </w:pPr>
      <w:r>
        <w:rPr>
          <w:rFonts w:hint="eastAsia" w:ascii="仿宋" w:hAnsi="仿宋" w:eastAsia="仿宋" w:cs="仿宋"/>
          <w:color w:val="auto"/>
        </w:rPr>
        <w:t>供应商：</w:t>
      </w:r>
      <w:r>
        <w:rPr>
          <w:rFonts w:hint="eastAsia" w:ascii="仿宋" w:hAnsi="仿宋" w:eastAsia="仿宋" w:cs="仿宋"/>
          <w:color w:val="auto"/>
          <w:u w:val="single"/>
        </w:rPr>
        <w:t>名称</w:t>
      </w:r>
      <w:r>
        <w:rPr>
          <w:rFonts w:hint="eastAsia" w:ascii="仿宋" w:hAnsi="仿宋" w:eastAsia="仿宋" w:cs="仿宋"/>
          <w:color w:val="auto"/>
        </w:rPr>
        <w:t>（加盖公章）</w:t>
      </w:r>
    </w:p>
    <w:p w14:paraId="4B990848">
      <w:pPr>
        <w:tabs>
          <w:tab w:val="right" w:pos="9070"/>
        </w:tabs>
        <w:spacing w:line="500" w:lineRule="exact"/>
        <w:ind w:firstLine="5377" w:firstLineChars="1900"/>
        <w:rPr>
          <w:rFonts w:ascii="仿宋" w:hAnsi="仿宋" w:eastAsia="仿宋"/>
          <w:bCs/>
          <w:color w:val="auto"/>
        </w:rPr>
      </w:pPr>
      <w:r>
        <w:rPr>
          <w:rFonts w:hint="eastAsia" w:ascii="仿宋" w:hAnsi="仿宋" w:eastAsia="仿宋" w:cs="仿宋"/>
          <w:color w:val="auto"/>
        </w:rPr>
        <w:t>日期：　　年　月　日</w:t>
      </w:r>
      <w:r>
        <w:rPr>
          <w:rFonts w:ascii="仿宋" w:hAnsi="仿宋" w:eastAsia="仿宋"/>
          <w:bCs/>
          <w:color w:val="auto"/>
        </w:rPr>
        <w:tab/>
      </w:r>
    </w:p>
    <w:p w14:paraId="43559BC9">
      <w:pPr>
        <w:tabs>
          <w:tab w:val="right" w:pos="9070"/>
        </w:tabs>
        <w:spacing w:line="500" w:lineRule="exact"/>
        <w:ind w:firstLine="566" w:firstLineChars="200"/>
        <w:rPr>
          <w:rFonts w:ascii="仿宋" w:hAnsi="仿宋" w:eastAsia="仿宋"/>
          <w:bCs/>
          <w:color w:val="auto"/>
        </w:rPr>
      </w:pPr>
    </w:p>
    <w:p w14:paraId="236A66D5">
      <w:pPr>
        <w:spacing w:line="240" w:lineRule="auto"/>
        <w:jc w:val="left"/>
        <w:rPr>
          <w:rFonts w:ascii="仿宋" w:hAnsi="仿宋" w:eastAsia="仿宋" w:cs="仿宋"/>
          <w:b/>
          <w:color w:val="auto"/>
          <w:sz w:val="32"/>
          <w:szCs w:val="32"/>
        </w:rPr>
      </w:pPr>
    </w:p>
    <w:p w14:paraId="5D7B88B9">
      <w:pPr>
        <w:pStyle w:val="16"/>
        <w:rPr>
          <w:rFonts w:ascii="仿宋" w:hAnsi="仿宋" w:eastAsia="仿宋" w:cs="仿宋"/>
          <w:b/>
          <w:color w:val="auto"/>
          <w:sz w:val="32"/>
          <w:szCs w:val="32"/>
        </w:rPr>
      </w:pPr>
    </w:p>
    <w:p w14:paraId="3EDFA2F3">
      <w:pPr>
        <w:pStyle w:val="16"/>
        <w:rPr>
          <w:rFonts w:ascii="仿宋" w:hAnsi="仿宋" w:eastAsia="仿宋" w:cs="仿宋"/>
          <w:b/>
          <w:color w:val="auto"/>
          <w:sz w:val="32"/>
          <w:szCs w:val="32"/>
        </w:rPr>
      </w:pPr>
    </w:p>
    <w:p w14:paraId="786C8212">
      <w:pPr>
        <w:spacing w:line="240" w:lineRule="auto"/>
        <w:jc w:val="left"/>
        <w:rPr>
          <w:rFonts w:ascii="仿宋" w:hAnsi="仿宋" w:eastAsia="仿宋" w:cs="仿宋"/>
          <w:b/>
          <w:color w:val="auto"/>
          <w:sz w:val="32"/>
          <w:szCs w:val="32"/>
        </w:rPr>
      </w:pPr>
    </w:p>
    <w:p w14:paraId="0908F092">
      <w:pPr>
        <w:pStyle w:val="16"/>
        <w:rPr>
          <w:rFonts w:ascii="仿宋" w:hAnsi="仿宋" w:eastAsia="仿宋" w:cs="仿宋"/>
          <w:b/>
          <w:color w:val="auto"/>
          <w:sz w:val="32"/>
          <w:szCs w:val="32"/>
        </w:rPr>
      </w:pPr>
    </w:p>
    <w:p w14:paraId="06AF1488">
      <w:pPr>
        <w:pStyle w:val="16"/>
        <w:rPr>
          <w:rFonts w:ascii="仿宋" w:hAnsi="仿宋" w:eastAsia="仿宋" w:cs="仿宋"/>
          <w:b/>
          <w:color w:val="auto"/>
          <w:sz w:val="32"/>
          <w:szCs w:val="32"/>
        </w:rPr>
      </w:pPr>
    </w:p>
    <w:p w14:paraId="0B4E42CB">
      <w:pPr>
        <w:pStyle w:val="16"/>
        <w:rPr>
          <w:rFonts w:ascii="仿宋" w:hAnsi="仿宋" w:eastAsia="仿宋" w:cs="仿宋"/>
          <w:b/>
          <w:color w:val="auto"/>
          <w:sz w:val="32"/>
          <w:szCs w:val="32"/>
        </w:rPr>
      </w:pPr>
    </w:p>
    <w:p w14:paraId="06BFC3E7">
      <w:pPr>
        <w:spacing w:line="240" w:lineRule="auto"/>
        <w:jc w:val="left"/>
        <w:rPr>
          <w:rFonts w:ascii="仿宋" w:hAnsi="仿宋" w:eastAsia="仿宋"/>
          <w:bCs/>
          <w:color w:val="auto"/>
        </w:rPr>
      </w:pPr>
      <w:r>
        <w:rPr>
          <w:rFonts w:hint="eastAsia" w:ascii="仿宋" w:hAnsi="仿宋" w:eastAsia="仿宋" w:cs="仿宋"/>
          <w:b/>
          <w:color w:val="auto"/>
          <w:sz w:val="32"/>
          <w:szCs w:val="32"/>
        </w:rPr>
        <w:t>六、合同</w:t>
      </w:r>
      <w:r>
        <w:rPr>
          <w:rFonts w:ascii="仿宋" w:hAnsi="仿宋" w:eastAsia="仿宋" w:cs="仿宋"/>
          <w:b/>
          <w:color w:val="auto"/>
          <w:sz w:val="32"/>
          <w:szCs w:val="32"/>
        </w:rPr>
        <w:t>条款</w:t>
      </w:r>
      <w:r>
        <w:rPr>
          <w:rFonts w:hint="eastAsia" w:ascii="仿宋" w:hAnsi="仿宋" w:eastAsia="仿宋" w:cs="仿宋"/>
          <w:b/>
          <w:color w:val="auto"/>
          <w:sz w:val="32"/>
          <w:szCs w:val="32"/>
        </w:rPr>
        <w:t>响应</w:t>
      </w:r>
    </w:p>
    <w:p w14:paraId="72A293F8">
      <w:pPr>
        <w:spacing w:line="500" w:lineRule="exact"/>
        <w:ind w:firstLine="566" w:firstLineChars="200"/>
        <w:rPr>
          <w:bCs/>
          <w:color w:val="auto"/>
        </w:rPr>
      </w:pPr>
      <w:r>
        <w:rPr>
          <w:rFonts w:hint="eastAsia"/>
          <w:bCs/>
          <w:color w:val="auto"/>
        </w:rPr>
        <w:t>完全理解并接受磋商文件中“合同基本条款”要求。</w:t>
      </w:r>
    </w:p>
    <w:p w14:paraId="75CBB136">
      <w:pPr>
        <w:pStyle w:val="2"/>
        <w:ind w:firstLine="183"/>
        <w:rPr>
          <w:color w:val="auto"/>
        </w:rPr>
      </w:pPr>
    </w:p>
    <w:p w14:paraId="281E4AE0">
      <w:pPr>
        <w:spacing w:line="500" w:lineRule="exact"/>
        <w:ind w:firstLine="5094" w:firstLineChars="1800"/>
        <w:rPr>
          <w:rFonts w:ascii="仿宋" w:hAnsi="仿宋" w:eastAsia="仿宋" w:cs="仿宋"/>
          <w:color w:val="auto"/>
        </w:rPr>
      </w:pPr>
      <w:r>
        <w:rPr>
          <w:rFonts w:hint="eastAsia" w:ascii="仿宋" w:hAnsi="仿宋" w:eastAsia="仿宋" w:cs="仿宋"/>
          <w:color w:val="auto"/>
        </w:rPr>
        <w:t>供应商：</w:t>
      </w:r>
      <w:r>
        <w:rPr>
          <w:rFonts w:hint="eastAsia" w:ascii="仿宋" w:hAnsi="仿宋" w:eastAsia="仿宋" w:cs="仿宋"/>
          <w:color w:val="auto"/>
          <w:u w:val="single"/>
        </w:rPr>
        <w:t>名称</w:t>
      </w:r>
      <w:r>
        <w:rPr>
          <w:rFonts w:hint="eastAsia" w:ascii="仿宋" w:hAnsi="仿宋" w:eastAsia="仿宋" w:cs="仿宋"/>
          <w:color w:val="auto"/>
        </w:rPr>
        <w:t>（加盖公章）</w:t>
      </w:r>
    </w:p>
    <w:p w14:paraId="5E534801">
      <w:pPr>
        <w:tabs>
          <w:tab w:val="right" w:pos="9070"/>
        </w:tabs>
        <w:spacing w:line="500" w:lineRule="exact"/>
        <w:ind w:firstLine="5377" w:firstLineChars="1900"/>
        <w:rPr>
          <w:rFonts w:ascii="仿宋" w:hAnsi="仿宋" w:eastAsia="仿宋"/>
          <w:bCs/>
          <w:color w:val="auto"/>
        </w:rPr>
      </w:pPr>
      <w:r>
        <w:rPr>
          <w:rFonts w:hint="eastAsia" w:ascii="仿宋" w:hAnsi="仿宋" w:eastAsia="仿宋" w:cs="仿宋"/>
          <w:color w:val="auto"/>
        </w:rPr>
        <w:t>日期：　　年　月　日</w:t>
      </w:r>
      <w:r>
        <w:rPr>
          <w:rFonts w:ascii="仿宋" w:hAnsi="仿宋" w:eastAsia="仿宋"/>
          <w:bCs/>
          <w:color w:val="auto"/>
        </w:rPr>
        <w:tab/>
      </w:r>
    </w:p>
    <w:p w14:paraId="35ACD0A5">
      <w:pPr>
        <w:pStyle w:val="2"/>
        <w:ind w:firstLine="183"/>
        <w:rPr>
          <w:color w:val="auto"/>
        </w:rPr>
      </w:pPr>
    </w:p>
    <w:p w14:paraId="1DD30133">
      <w:pPr>
        <w:rPr>
          <w:color w:val="auto"/>
        </w:rPr>
      </w:pPr>
    </w:p>
    <w:p w14:paraId="6D4AE1AB">
      <w:pPr>
        <w:rPr>
          <w:color w:val="auto"/>
        </w:rPr>
      </w:pPr>
    </w:p>
    <w:p w14:paraId="0ABCFFC5">
      <w:pPr>
        <w:rPr>
          <w:color w:val="auto"/>
        </w:rPr>
      </w:pPr>
    </w:p>
    <w:p w14:paraId="2213167C">
      <w:pPr>
        <w:rPr>
          <w:color w:val="auto"/>
        </w:rPr>
      </w:pPr>
    </w:p>
    <w:p w14:paraId="78A0F235">
      <w:pPr>
        <w:rPr>
          <w:color w:val="auto"/>
        </w:rPr>
      </w:pPr>
    </w:p>
    <w:p w14:paraId="557AC9C7">
      <w:pPr>
        <w:rPr>
          <w:color w:val="auto"/>
        </w:rPr>
      </w:pPr>
    </w:p>
    <w:p w14:paraId="7CCC562D">
      <w:pPr>
        <w:rPr>
          <w:color w:val="auto"/>
        </w:rPr>
      </w:pPr>
    </w:p>
    <w:p w14:paraId="1A41794A">
      <w:pPr>
        <w:rPr>
          <w:color w:val="auto"/>
        </w:rPr>
      </w:pPr>
    </w:p>
    <w:p w14:paraId="0BE55DCB">
      <w:pPr>
        <w:rPr>
          <w:color w:val="auto"/>
        </w:rPr>
      </w:pPr>
    </w:p>
    <w:p w14:paraId="0BA74F93">
      <w:pPr>
        <w:rPr>
          <w:color w:val="auto"/>
        </w:rPr>
      </w:pPr>
    </w:p>
    <w:p w14:paraId="1334966F">
      <w:pPr>
        <w:rPr>
          <w:color w:val="auto"/>
        </w:rPr>
      </w:pPr>
    </w:p>
    <w:p w14:paraId="47C2DFB3">
      <w:pPr>
        <w:rPr>
          <w:color w:val="auto"/>
        </w:rPr>
      </w:pPr>
    </w:p>
    <w:p w14:paraId="3EE63B43">
      <w:pPr>
        <w:rPr>
          <w:color w:val="auto"/>
        </w:rPr>
      </w:pPr>
    </w:p>
    <w:p w14:paraId="30F7F140">
      <w:pPr>
        <w:rPr>
          <w:color w:val="auto"/>
        </w:rPr>
      </w:pPr>
    </w:p>
    <w:p w14:paraId="50D12C67">
      <w:pPr>
        <w:rPr>
          <w:color w:val="auto"/>
        </w:rPr>
      </w:pPr>
    </w:p>
    <w:p w14:paraId="3D58CC91">
      <w:pPr>
        <w:rPr>
          <w:color w:val="auto"/>
        </w:rPr>
      </w:pPr>
    </w:p>
    <w:p w14:paraId="18F0F113">
      <w:pPr>
        <w:rPr>
          <w:color w:val="auto"/>
        </w:rPr>
      </w:pPr>
    </w:p>
    <w:p w14:paraId="6E9A2C36">
      <w:pPr>
        <w:rPr>
          <w:color w:val="auto"/>
        </w:rPr>
      </w:pPr>
    </w:p>
    <w:p w14:paraId="044A0E6E">
      <w:pPr>
        <w:rPr>
          <w:color w:val="auto"/>
        </w:rPr>
      </w:pPr>
    </w:p>
    <w:p w14:paraId="48C13B72">
      <w:pPr>
        <w:rPr>
          <w:color w:val="auto"/>
        </w:rPr>
      </w:pPr>
    </w:p>
    <w:p w14:paraId="3DC4A1C4">
      <w:pPr>
        <w:rPr>
          <w:color w:val="auto"/>
        </w:rPr>
      </w:pPr>
    </w:p>
    <w:p w14:paraId="7DEF31E6">
      <w:pPr>
        <w:rPr>
          <w:color w:val="auto"/>
        </w:rPr>
      </w:pPr>
    </w:p>
    <w:p w14:paraId="03D7DFE5">
      <w:pPr>
        <w:rPr>
          <w:color w:val="auto"/>
        </w:rPr>
      </w:pPr>
    </w:p>
    <w:p w14:paraId="15CAFE79">
      <w:pPr>
        <w:rPr>
          <w:color w:val="auto"/>
        </w:rPr>
      </w:pPr>
    </w:p>
    <w:p w14:paraId="6330D559">
      <w:pPr>
        <w:rPr>
          <w:color w:val="auto"/>
        </w:rPr>
      </w:pPr>
    </w:p>
    <w:p w14:paraId="12996538">
      <w:pPr>
        <w:rPr>
          <w:color w:val="auto"/>
        </w:rPr>
      </w:pPr>
    </w:p>
    <w:p w14:paraId="06573ECA">
      <w:pPr>
        <w:spacing w:line="240" w:lineRule="auto"/>
        <w:jc w:val="center"/>
        <w:rPr>
          <w:rStyle w:val="74"/>
          <w:rFonts w:ascii="黑体" w:hAnsi="黑体" w:eastAsia="黑体"/>
          <w:b w:val="0"/>
          <w:bCs w:val="0"/>
          <w:color w:val="auto"/>
        </w:rPr>
      </w:pPr>
      <w:bookmarkStart w:id="479" w:name="_Toc10873"/>
      <w:bookmarkStart w:id="480" w:name="_Toc16711"/>
      <w:bookmarkStart w:id="481" w:name="_Toc18045"/>
      <w:r>
        <w:rPr>
          <w:rStyle w:val="74"/>
          <w:rFonts w:hint="eastAsia" w:ascii="黑体" w:hAnsi="黑体" w:eastAsia="黑体"/>
          <w:b w:val="0"/>
          <w:bCs w:val="0"/>
          <w:color w:val="auto"/>
        </w:rPr>
        <w:t>第三部分  响应</w:t>
      </w:r>
      <w:r>
        <w:rPr>
          <w:rStyle w:val="74"/>
          <w:rFonts w:hint="eastAsia" w:ascii="黑体" w:hAnsi="黑体" w:eastAsia="黑体"/>
          <w:b w:val="0"/>
          <w:bCs w:val="0"/>
          <w:color w:val="auto"/>
          <w:lang w:val="en-US" w:eastAsia="zh-CN"/>
        </w:rPr>
        <w:t>性证明文件</w:t>
      </w:r>
      <w:bookmarkEnd w:id="476"/>
      <w:bookmarkEnd w:id="477"/>
      <w:bookmarkEnd w:id="478"/>
    </w:p>
    <w:bookmarkEnd w:id="479"/>
    <w:bookmarkEnd w:id="480"/>
    <w:bookmarkEnd w:id="481"/>
    <w:p w14:paraId="543E8EE9">
      <w:pPr>
        <w:spacing w:line="500" w:lineRule="exact"/>
        <w:jc w:val="both"/>
        <w:rPr>
          <w:b/>
          <w:bCs/>
          <w:sz w:val="32"/>
          <w:szCs w:val="32"/>
        </w:rPr>
      </w:pPr>
      <w:bookmarkStart w:id="482" w:name="_Toc17621"/>
      <w:bookmarkStart w:id="483" w:name="_Toc24887"/>
      <w:bookmarkStart w:id="484" w:name="_Toc7732"/>
      <w:bookmarkStart w:id="485" w:name="_Toc9337_WPSOffice_Level2"/>
      <w:bookmarkStart w:id="486" w:name="_Toc11555"/>
      <w:bookmarkStart w:id="487" w:name="_Toc29975_WPSOffice_Level2"/>
      <w:bookmarkStart w:id="488" w:name="_Toc15660_WPSOffice_Level2"/>
      <w:bookmarkStart w:id="489" w:name="_Toc9079"/>
      <w:bookmarkStart w:id="490" w:name="_Toc28702"/>
      <w:bookmarkStart w:id="491" w:name="_Toc17062_WPSOffice_Level2"/>
      <w:r>
        <w:rPr>
          <w:rFonts w:hint="eastAsia"/>
          <w:b/>
          <w:bCs/>
          <w:sz w:val="32"/>
          <w:szCs w:val="32"/>
        </w:rPr>
        <w:t>一、供应商概况</w:t>
      </w:r>
      <w:bookmarkEnd w:id="482"/>
      <w:bookmarkEnd w:id="483"/>
      <w:bookmarkEnd w:id="484"/>
      <w:bookmarkEnd w:id="485"/>
      <w:bookmarkEnd w:id="486"/>
      <w:bookmarkEnd w:id="487"/>
      <w:bookmarkEnd w:id="488"/>
      <w:bookmarkEnd w:id="489"/>
      <w:bookmarkEnd w:id="490"/>
      <w:bookmarkEnd w:id="491"/>
    </w:p>
    <w:p w14:paraId="40FD661A">
      <w:pPr>
        <w:spacing w:before="190" w:beforeLines="50" w:line="500" w:lineRule="exact"/>
        <w:ind w:firstLine="566" w:firstLineChars="200"/>
        <w:rPr>
          <w:b/>
          <w:color w:val="auto"/>
        </w:rPr>
      </w:pPr>
      <w:r>
        <w:rPr>
          <w:rFonts w:hint="eastAsia" w:cs="华文仿宋"/>
          <w:b/>
          <w:bCs/>
          <w:lang w:val="en-US" w:eastAsia="zh-CN"/>
        </w:rPr>
        <w:t>包括但不限于成立时间、经营范围、股权变更、总公司分公司分布及经营状况、管理制度、人员配备、用户评价、正在实施的项目以及评优获奖等情况。</w:t>
      </w:r>
    </w:p>
    <w:p w14:paraId="0F0AB21F">
      <w:pPr>
        <w:spacing w:line="500" w:lineRule="exact"/>
        <w:ind w:firstLine="566" w:firstLineChars="200"/>
        <w:rPr>
          <w:rFonts w:hint="eastAsia"/>
          <w:lang w:val="en-US" w:eastAsia="zh-CN"/>
        </w:rPr>
      </w:pPr>
    </w:p>
    <w:p w14:paraId="2B93561D">
      <w:pPr>
        <w:spacing w:line="500" w:lineRule="exact"/>
        <w:rPr>
          <w:b/>
          <w:color w:val="auto"/>
          <w:sz w:val="32"/>
          <w:szCs w:val="32"/>
        </w:rPr>
      </w:pPr>
      <w:r>
        <w:rPr>
          <w:rFonts w:hint="eastAsia"/>
          <w:b/>
          <w:color w:val="auto"/>
          <w:sz w:val="32"/>
          <w:szCs w:val="32"/>
        </w:rPr>
        <w:t>二、技术服务方案</w:t>
      </w:r>
    </w:p>
    <w:p w14:paraId="79AA726E">
      <w:pPr>
        <w:spacing w:line="500" w:lineRule="exact"/>
        <w:ind w:firstLine="566" w:firstLineChars="200"/>
        <w:rPr>
          <w:bCs/>
          <w:color w:val="auto"/>
        </w:rPr>
      </w:pPr>
      <w:r>
        <w:rPr>
          <w:bCs/>
          <w:color w:val="auto"/>
        </w:rPr>
        <w:t>参照</w:t>
      </w:r>
      <w:r>
        <w:rPr>
          <w:rFonts w:hint="eastAsia"/>
          <w:bCs/>
          <w:color w:val="auto"/>
        </w:rPr>
        <w:t>磋商</w:t>
      </w:r>
      <w:r>
        <w:rPr>
          <w:bCs/>
          <w:color w:val="auto"/>
        </w:rPr>
        <w:t>文件第二章《</w:t>
      </w:r>
      <w:r>
        <w:rPr>
          <w:rFonts w:hint="eastAsia"/>
          <w:bCs/>
          <w:color w:val="auto"/>
        </w:rPr>
        <w:t>组织评审</w:t>
      </w:r>
      <w:r>
        <w:rPr>
          <w:bCs/>
          <w:color w:val="auto"/>
        </w:rPr>
        <w:t>》各条款的要求，结合第三章《</w:t>
      </w:r>
      <w:r>
        <w:rPr>
          <w:rFonts w:hint="eastAsia"/>
          <w:bCs/>
          <w:color w:val="auto"/>
        </w:rPr>
        <w:t>磋商</w:t>
      </w:r>
      <w:r>
        <w:rPr>
          <w:bCs/>
          <w:color w:val="auto"/>
        </w:rPr>
        <w:t>内容及</w:t>
      </w:r>
      <w:r>
        <w:rPr>
          <w:rFonts w:hint="eastAsia"/>
          <w:bCs/>
          <w:color w:val="auto"/>
        </w:rPr>
        <w:t>采购要求</w:t>
      </w:r>
      <w:r>
        <w:rPr>
          <w:bCs/>
          <w:color w:val="auto"/>
        </w:rPr>
        <w:t>》编制</w:t>
      </w:r>
      <w:r>
        <w:rPr>
          <w:rFonts w:hint="eastAsia"/>
          <w:bCs/>
          <w:color w:val="auto"/>
        </w:rPr>
        <w:t>技术服务</w:t>
      </w:r>
      <w:r>
        <w:rPr>
          <w:bCs/>
          <w:color w:val="auto"/>
        </w:rPr>
        <w:t>方案。</w:t>
      </w:r>
    </w:p>
    <w:p w14:paraId="3A506E74">
      <w:pPr>
        <w:tabs>
          <w:tab w:val="right" w:pos="9070"/>
        </w:tabs>
        <w:spacing w:line="500" w:lineRule="exact"/>
        <w:ind w:firstLine="646" w:firstLineChars="200"/>
        <w:rPr>
          <w:rFonts w:ascii="仿宋" w:hAnsi="仿宋" w:eastAsia="仿宋"/>
          <w:b/>
          <w:color w:val="auto"/>
          <w:sz w:val="32"/>
          <w:szCs w:val="32"/>
        </w:rPr>
      </w:pPr>
    </w:p>
    <w:p w14:paraId="11389209">
      <w:pPr>
        <w:tabs>
          <w:tab w:val="right" w:pos="9070"/>
        </w:tabs>
        <w:spacing w:line="500" w:lineRule="exact"/>
        <w:rPr>
          <w:rFonts w:hint="eastAsia" w:ascii="仿宋" w:hAnsi="仿宋" w:eastAsia="仿宋"/>
          <w:b/>
          <w:color w:val="auto"/>
          <w:sz w:val="32"/>
          <w:szCs w:val="32"/>
        </w:rPr>
      </w:pPr>
    </w:p>
    <w:p w14:paraId="49727F82">
      <w:pPr>
        <w:tabs>
          <w:tab w:val="right" w:pos="9070"/>
        </w:tabs>
        <w:spacing w:line="500" w:lineRule="exact"/>
        <w:rPr>
          <w:rFonts w:hint="eastAsia" w:ascii="仿宋" w:hAnsi="仿宋" w:eastAsia="仿宋"/>
          <w:b/>
          <w:color w:val="auto"/>
          <w:sz w:val="32"/>
          <w:szCs w:val="32"/>
        </w:rPr>
      </w:pPr>
    </w:p>
    <w:p w14:paraId="5945AA42">
      <w:pPr>
        <w:tabs>
          <w:tab w:val="right" w:pos="9070"/>
        </w:tabs>
        <w:spacing w:line="500" w:lineRule="exact"/>
        <w:rPr>
          <w:rFonts w:hint="eastAsia" w:ascii="仿宋" w:hAnsi="仿宋" w:eastAsia="仿宋"/>
          <w:b/>
          <w:color w:val="auto"/>
          <w:sz w:val="32"/>
          <w:szCs w:val="32"/>
        </w:rPr>
      </w:pPr>
    </w:p>
    <w:p w14:paraId="4BEF118A">
      <w:pPr>
        <w:tabs>
          <w:tab w:val="right" w:pos="9070"/>
        </w:tabs>
        <w:spacing w:line="500" w:lineRule="exact"/>
        <w:rPr>
          <w:rFonts w:hint="eastAsia" w:ascii="仿宋" w:hAnsi="仿宋" w:eastAsia="仿宋"/>
          <w:b/>
          <w:color w:val="auto"/>
          <w:sz w:val="32"/>
          <w:szCs w:val="32"/>
        </w:rPr>
      </w:pPr>
    </w:p>
    <w:p w14:paraId="552A32A3">
      <w:pPr>
        <w:tabs>
          <w:tab w:val="right" w:pos="9070"/>
        </w:tabs>
        <w:spacing w:line="500" w:lineRule="exact"/>
        <w:rPr>
          <w:rFonts w:hint="eastAsia" w:ascii="仿宋" w:hAnsi="仿宋" w:eastAsia="仿宋"/>
          <w:b/>
          <w:color w:val="auto"/>
          <w:sz w:val="32"/>
          <w:szCs w:val="32"/>
        </w:rPr>
      </w:pPr>
    </w:p>
    <w:p w14:paraId="59A3DBAA">
      <w:pPr>
        <w:tabs>
          <w:tab w:val="right" w:pos="9070"/>
        </w:tabs>
        <w:spacing w:line="500" w:lineRule="exact"/>
        <w:rPr>
          <w:rFonts w:hint="eastAsia" w:ascii="仿宋" w:hAnsi="仿宋" w:eastAsia="仿宋"/>
          <w:b/>
          <w:color w:val="auto"/>
          <w:sz w:val="32"/>
          <w:szCs w:val="32"/>
        </w:rPr>
      </w:pPr>
    </w:p>
    <w:p w14:paraId="25F20125">
      <w:pPr>
        <w:tabs>
          <w:tab w:val="right" w:pos="9070"/>
        </w:tabs>
        <w:spacing w:line="500" w:lineRule="exact"/>
        <w:rPr>
          <w:rFonts w:hint="eastAsia" w:ascii="仿宋" w:hAnsi="仿宋" w:eastAsia="仿宋"/>
          <w:b/>
          <w:color w:val="auto"/>
          <w:sz w:val="32"/>
          <w:szCs w:val="32"/>
        </w:rPr>
      </w:pPr>
    </w:p>
    <w:p w14:paraId="18D8FE9F">
      <w:pPr>
        <w:tabs>
          <w:tab w:val="right" w:pos="9070"/>
        </w:tabs>
        <w:spacing w:line="500" w:lineRule="exact"/>
        <w:rPr>
          <w:rFonts w:hint="eastAsia" w:ascii="仿宋" w:hAnsi="仿宋" w:eastAsia="仿宋"/>
          <w:b/>
          <w:color w:val="auto"/>
          <w:sz w:val="32"/>
          <w:szCs w:val="32"/>
        </w:rPr>
      </w:pPr>
    </w:p>
    <w:p w14:paraId="106BD9FD">
      <w:pPr>
        <w:tabs>
          <w:tab w:val="right" w:pos="9070"/>
        </w:tabs>
        <w:spacing w:line="500" w:lineRule="exact"/>
        <w:rPr>
          <w:rFonts w:hint="eastAsia" w:ascii="仿宋" w:hAnsi="仿宋" w:eastAsia="仿宋"/>
          <w:b/>
          <w:color w:val="auto"/>
          <w:sz w:val="32"/>
          <w:szCs w:val="32"/>
        </w:rPr>
      </w:pPr>
    </w:p>
    <w:p w14:paraId="196CA2E2">
      <w:pPr>
        <w:tabs>
          <w:tab w:val="right" w:pos="9070"/>
        </w:tabs>
        <w:spacing w:line="500" w:lineRule="exact"/>
        <w:rPr>
          <w:rFonts w:hint="eastAsia" w:ascii="仿宋" w:hAnsi="仿宋" w:eastAsia="仿宋"/>
          <w:b/>
          <w:color w:val="auto"/>
          <w:sz w:val="32"/>
          <w:szCs w:val="32"/>
        </w:rPr>
      </w:pPr>
    </w:p>
    <w:p w14:paraId="58980B43">
      <w:pPr>
        <w:tabs>
          <w:tab w:val="right" w:pos="9070"/>
        </w:tabs>
        <w:spacing w:line="500" w:lineRule="exact"/>
        <w:rPr>
          <w:rFonts w:hint="eastAsia" w:ascii="仿宋" w:hAnsi="仿宋" w:eastAsia="仿宋"/>
          <w:b/>
          <w:color w:val="auto"/>
          <w:sz w:val="32"/>
          <w:szCs w:val="32"/>
        </w:rPr>
      </w:pPr>
    </w:p>
    <w:p w14:paraId="0D057066">
      <w:pPr>
        <w:tabs>
          <w:tab w:val="right" w:pos="9070"/>
        </w:tabs>
        <w:spacing w:line="500" w:lineRule="exact"/>
        <w:rPr>
          <w:rFonts w:hint="eastAsia" w:ascii="仿宋" w:hAnsi="仿宋" w:eastAsia="仿宋"/>
          <w:b/>
          <w:color w:val="auto"/>
          <w:sz w:val="32"/>
          <w:szCs w:val="32"/>
        </w:rPr>
      </w:pPr>
    </w:p>
    <w:p w14:paraId="603D95AF">
      <w:pPr>
        <w:tabs>
          <w:tab w:val="right" w:pos="9070"/>
        </w:tabs>
        <w:spacing w:line="500" w:lineRule="exact"/>
        <w:rPr>
          <w:rFonts w:hint="eastAsia" w:ascii="仿宋" w:hAnsi="仿宋" w:eastAsia="仿宋"/>
          <w:b/>
          <w:color w:val="auto"/>
          <w:sz w:val="32"/>
          <w:szCs w:val="32"/>
        </w:rPr>
      </w:pPr>
    </w:p>
    <w:p w14:paraId="05838763">
      <w:pPr>
        <w:tabs>
          <w:tab w:val="right" w:pos="9070"/>
        </w:tabs>
        <w:spacing w:line="500" w:lineRule="exact"/>
        <w:rPr>
          <w:rFonts w:hint="eastAsia" w:ascii="仿宋" w:hAnsi="仿宋" w:eastAsia="仿宋"/>
          <w:b/>
          <w:color w:val="auto"/>
          <w:sz w:val="32"/>
          <w:szCs w:val="32"/>
        </w:rPr>
      </w:pPr>
    </w:p>
    <w:p w14:paraId="7550AB8D">
      <w:pPr>
        <w:tabs>
          <w:tab w:val="right" w:pos="9070"/>
        </w:tabs>
        <w:spacing w:line="500" w:lineRule="exact"/>
        <w:rPr>
          <w:rFonts w:hint="eastAsia" w:ascii="仿宋" w:hAnsi="仿宋" w:eastAsia="仿宋"/>
          <w:b/>
          <w:color w:val="auto"/>
          <w:sz w:val="32"/>
          <w:szCs w:val="32"/>
        </w:rPr>
      </w:pPr>
    </w:p>
    <w:p w14:paraId="728175CF">
      <w:pPr>
        <w:tabs>
          <w:tab w:val="right" w:pos="9070"/>
        </w:tabs>
        <w:spacing w:line="500" w:lineRule="exact"/>
        <w:rPr>
          <w:rFonts w:hint="eastAsia" w:ascii="仿宋" w:hAnsi="仿宋" w:eastAsia="仿宋"/>
          <w:b/>
          <w:color w:val="auto"/>
          <w:sz w:val="32"/>
          <w:szCs w:val="32"/>
        </w:rPr>
      </w:pPr>
    </w:p>
    <w:p w14:paraId="5F81C069">
      <w:pPr>
        <w:tabs>
          <w:tab w:val="right" w:pos="9070"/>
        </w:tabs>
        <w:spacing w:line="500" w:lineRule="exact"/>
        <w:rPr>
          <w:rFonts w:hint="eastAsia" w:ascii="仿宋" w:hAnsi="仿宋" w:eastAsia="仿宋"/>
          <w:b/>
          <w:color w:val="auto"/>
          <w:sz w:val="32"/>
          <w:szCs w:val="32"/>
        </w:rPr>
      </w:pPr>
    </w:p>
    <w:p w14:paraId="405EDB5B">
      <w:pPr>
        <w:tabs>
          <w:tab w:val="right" w:pos="9070"/>
        </w:tabs>
        <w:spacing w:line="500" w:lineRule="exact"/>
        <w:rPr>
          <w:rFonts w:ascii="仿宋" w:hAnsi="仿宋" w:eastAsia="仿宋"/>
          <w:bCs/>
          <w:color w:val="auto"/>
          <w:sz w:val="32"/>
          <w:szCs w:val="32"/>
        </w:rPr>
      </w:pPr>
      <w:r>
        <w:rPr>
          <w:rFonts w:hint="eastAsia" w:ascii="仿宋" w:hAnsi="仿宋" w:eastAsia="仿宋"/>
          <w:b/>
          <w:color w:val="auto"/>
          <w:sz w:val="32"/>
          <w:szCs w:val="32"/>
        </w:rPr>
        <w:t>三、参考样表</w:t>
      </w:r>
    </w:p>
    <w:p w14:paraId="77267E8F">
      <w:pPr>
        <w:spacing w:line="500" w:lineRule="exact"/>
        <w:ind w:firstLine="566" w:firstLineChars="200"/>
        <w:rPr>
          <w:rFonts w:ascii="华文仿宋" w:hAnsi="华文仿宋" w:cs="华文仿宋"/>
          <w:b/>
          <w:bCs/>
          <w:color w:val="auto"/>
        </w:rPr>
      </w:pPr>
      <w:r>
        <w:rPr>
          <w:rFonts w:hint="eastAsia" w:ascii="华文仿宋" w:hAnsi="华文仿宋" w:cs="华文仿宋"/>
          <w:b/>
          <w:bCs/>
          <w:color w:val="auto"/>
        </w:rPr>
        <w:t>（一）业绩合同样表（仅供参考）</w:t>
      </w:r>
    </w:p>
    <w:tbl>
      <w:tblPr>
        <w:tblStyle w:val="2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14:paraId="747E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053EA02A">
            <w:pPr>
              <w:widowControl w:val="0"/>
              <w:adjustRightInd w:val="0"/>
              <w:snapToGrid w:val="0"/>
              <w:spacing w:line="440" w:lineRule="exact"/>
              <w:jc w:val="center"/>
              <w:rPr>
                <w:rFonts w:ascii="宋体"/>
                <w:b/>
                <w:color w:val="auto"/>
                <w:sz w:val="24"/>
                <w:szCs w:val="24"/>
              </w:rPr>
            </w:pPr>
            <w:r>
              <w:rPr>
                <w:rFonts w:hint="eastAsia" w:ascii="宋体"/>
                <w:b/>
                <w:color w:val="auto"/>
                <w:sz w:val="24"/>
                <w:szCs w:val="24"/>
              </w:rPr>
              <w:t>序号</w:t>
            </w:r>
          </w:p>
        </w:tc>
        <w:tc>
          <w:tcPr>
            <w:tcW w:w="1736" w:type="dxa"/>
            <w:vAlign w:val="center"/>
          </w:tcPr>
          <w:p w14:paraId="468D6EED">
            <w:pPr>
              <w:jc w:val="center"/>
              <w:rPr>
                <w:rFonts w:ascii="仿宋" w:hAnsi="仿宋" w:eastAsia="仿宋" w:cs="仿宋"/>
                <w:b/>
                <w:color w:val="auto"/>
                <w:sz w:val="24"/>
                <w:szCs w:val="24"/>
              </w:rPr>
            </w:pPr>
            <w:r>
              <w:rPr>
                <w:rFonts w:hint="eastAsia" w:ascii="仿宋" w:hAnsi="仿宋" w:eastAsia="仿宋" w:cs="仿宋"/>
                <w:b/>
                <w:color w:val="auto"/>
                <w:sz w:val="24"/>
                <w:szCs w:val="24"/>
              </w:rPr>
              <w:t>采购单位名称</w:t>
            </w:r>
          </w:p>
        </w:tc>
        <w:tc>
          <w:tcPr>
            <w:tcW w:w="1701" w:type="dxa"/>
            <w:vAlign w:val="center"/>
          </w:tcPr>
          <w:p w14:paraId="42F0088A">
            <w:pPr>
              <w:jc w:val="center"/>
              <w:rPr>
                <w:rFonts w:ascii="仿宋" w:hAnsi="仿宋" w:eastAsia="仿宋" w:cs="仿宋"/>
                <w:b/>
                <w:color w:val="auto"/>
                <w:sz w:val="24"/>
                <w:szCs w:val="24"/>
              </w:rPr>
            </w:pPr>
            <w:r>
              <w:rPr>
                <w:rFonts w:hint="eastAsia" w:ascii="仿宋" w:hAnsi="仿宋" w:eastAsia="仿宋" w:cs="仿宋"/>
                <w:b/>
                <w:color w:val="auto"/>
                <w:sz w:val="24"/>
                <w:szCs w:val="24"/>
              </w:rPr>
              <w:t>合同名称</w:t>
            </w:r>
          </w:p>
        </w:tc>
        <w:tc>
          <w:tcPr>
            <w:tcW w:w="2557" w:type="dxa"/>
            <w:vAlign w:val="center"/>
          </w:tcPr>
          <w:p w14:paraId="2DCE3F17">
            <w:pPr>
              <w:jc w:val="center"/>
              <w:rPr>
                <w:rFonts w:ascii="仿宋" w:hAnsi="仿宋" w:eastAsia="仿宋" w:cs="仿宋"/>
                <w:b/>
                <w:color w:val="auto"/>
                <w:sz w:val="24"/>
                <w:szCs w:val="24"/>
              </w:rPr>
            </w:pPr>
            <w:r>
              <w:rPr>
                <w:rFonts w:hint="eastAsia" w:ascii="仿宋" w:hAnsi="仿宋" w:eastAsia="仿宋" w:cs="仿宋"/>
                <w:b/>
                <w:color w:val="auto"/>
                <w:sz w:val="24"/>
                <w:szCs w:val="24"/>
              </w:rPr>
              <w:t>合同起止时间</w:t>
            </w:r>
          </w:p>
        </w:tc>
        <w:tc>
          <w:tcPr>
            <w:tcW w:w="1984" w:type="dxa"/>
            <w:vAlign w:val="center"/>
          </w:tcPr>
          <w:p w14:paraId="6FCAADB8">
            <w:pPr>
              <w:jc w:val="center"/>
              <w:rPr>
                <w:rFonts w:ascii="仿宋" w:hAnsi="仿宋" w:eastAsia="仿宋" w:cs="仿宋"/>
                <w:b/>
                <w:color w:val="auto"/>
                <w:sz w:val="24"/>
                <w:szCs w:val="24"/>
              </w:rPr>
            </w:pPr>
            <w:r>
              <w:rPr>
                <w:rFonts w:hint="eastAsia" w:ascii="仿宋" w:hAnsi="仿宋" w:eastAsia="仿宋" w:cs="仿宋"/>
                <w:b/>
                <w:color w:val="auto"/>
                <w:sz w:val="24"/>
                <w:szCs w:val="24"/>
              </w:rPr>
              <w:t>合同金额（万元）</w:t>
            </w:r>
          </w:p>
        </w:tc>
      </w:tr>
      <w:tr w14:paraId="5B3D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2EFDE0B8">
            <w:pPr>
              <w:widowControl w:val="0"/>
              <w:spacing w:line="440" w:lineRule="exact"/>
              <w:jc w:val="center"/>
              <w:rPr>
                <w:rFonts w:ascii="宋体" w:hAnsi="宋体"/>
                <w:color w:val="auto"/>
                <w:sz w:val="24"/>
                <w:szCs w:val="24"/>
              </w:rPr>
            </w:pPr>
          </w:p>
        </w:tc>
        <w:tc>
          <w:tcPr>
            <w:tcW w:w="1736" w:type="dxa"/>
            <w:vAlign w:val="center"/>
          </w:tcPr>
          <w:p w14:paraId="35E9ADA4">
            <w:pPr>
              <w:widowControl w:val="0"/>
              <w:spacing w:line="440" w:lineRule="exact"/>
              <w:jc w:val="center"/>
              <w:rPr>
                <w:rFonts w:ascii="宋体" w:hAnsi="宋体"/>
                <w:color w:val="auto"/>
                <w:sz w:val="24"/>
                <w:szCs w:val="24"/>
              </w:rPr>
            </w:pPr>
          </w:p>
        </w:tc>
        <w:tc>
          <w:tcPr>
            <w:tcW w:w="1701" w:type="dxa"/>
            <w:vAlign w:val="center"/>
          </w:tcPr>
          <w:p w14:paraId="2F9C6878">
            <w:pPr>
              <w:widowControl w:val="0"/>
              <w:spacing w:line="440" w:lineRule="exact"/>
              <w:jc w:val="center"/>
              <w:rPr>
                <w:rFonts w:ascii="宋体" w:hAnsi="宋体"/>
                <w:color w:val="auto"/>
                <w:sz w:val="24"/>
                <w:szCs w:val="24"/>
              </w:rPr>
            </w:pPr>
          </w:p>
        </w:tc>
        <w:tc>
          <w:tcPr>
            <w:tcW w:w="2557" w:type="dxa"/>
            <w:vAlign w:val="center"/>
          </w:tcPr>
          <w:p w14:paraId="0B3BE86B">
            <w:pPr>
              <w:widowControl w:val="0"/>
              <w:spacing w:line="440" w:lineRule="exact"/>
              <w:jc w:val="center"/>
              <w:rPr>
                <w:rFonts w:ascii="宋体" w:hAnsi="宋体"/>
                <w:color w:val="auto"/>
                <w:sz w:val="24"/>
                <w:szCs w:val="24"/>
              </w:rPr>
            </w:pPr>
          </w:p>
        </w:tc>
        <w:tc>
          <w:tcPr>
            <w:tcW w:w="1984" w:type="dxa"/>
            <w:vAlign w:val="center"/>
          </w:tcPr>
          <w:p w14:paraId="55F9CF88">
            <w:pPr>
              <w:widowControl w:val="0"/>
              <w:spacing w:line="440" w:lineRule="exact"/>
              <w:jc w:val="center"/>
              <w:rPr>
                <w:rFonts w:ascii="宋体" w:hAnsi="宋体"/>
                <w:color w:val="auto"/>
                <w:sz w:val="24"/>
                <w:szCs w:val="24"/>
              </w:rPr>
            </w:pPr>
          </w:p>
        </w:tc>
      </w:tr>
      <w:tr w14:paraId="6FF7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4BA8F804">
            <w:pPr>
              <w:widowControl w:val="0"/>
              <w:spacing w:line="440" w:lineRule="exact"/>
              <w:jc w:val="center"/>
              <w:rPr>
                <w:rFonts w:ascii="宋体" w:hAnsi="宋体"/>
                <w:color w:val="auto"/>
                <w:sz w:val="24"/>
                <w:szCs w:val="24"/>
              </w:rPr>
            </w:pPr>
            <w:r>
              <w:rPr>
                <w:rFonts w:ascii="宋体" w:hAnsi="宋体"/>
                <w:color w:val="auto"/>
                <w:sz w:val="24"/>
                <w:szCs w:val="24"/>
              </w:rPr>
              <w:t>……</w:t>
            </w:r>
          </w:p>
        </w:tc>
        <w:tc>
          <w:tcPr>
            <w:tcW w:w="1736" w:type="dxa"/>
            <w:vAlign w:val="center"/>
          </w:tcPr>
          <w:p w14:paraId="0E1F633C">
            <w:pPr>
              <w:widowControl w:val="0"/>
              <w:spacing w:line="440" w:lineRule="exact"/>
              <w:jc w:val="center"/>
              <w:rPr>
                <w:rFonts w:ascii="宋体" w:hAnsi="宋体"/>
                <w:color w:val="auto"/>
                <w:sz w:val="24"/>
                <w:szCs w:val="24"/>
              </w:rPr>
            </w:pPr>
          </w:p>
        </w:tc>
        <w:tc>
          <w:tcPr>
            <w:tcW w:w="1701" w:type="dxa"/>
            <w:vAlign w:val="center"/>
          </w:tcPr>
          <w:p w14:paraId="6824D964">
            <w:pPr>
              <w:widowControl w:val="0"/>
              <w:spacing w:line="440" w:lineRule="exact"/>
              <w:jc w:val="center"/>
              <w:rPr>
                <w:rFonts w:ascii="宋体" w:hAnsi="宋体"/>
                <w:color w:val="auto"/>
                <w:sz w:val="24"/>
                <w:szCs w:val="24"/>
              </w:rPr>
            </w:pPr>
          </w:p>
        </w:tc>
        <w:tc>
          <w:tcPr>
            <w:tcW w:w="2557" w:type="dxa"/>
            <w:vAlign w:val="center"/>
          </w:tcPr>
          <w:p w14:paraId="67AFC4D5">
            <w:pPr>
              <w:widowControl w:val="0"/>
              <w:spacing w:line="440" w:lineRule="exact"/>
              <w:jc w:val="center"/>
              <w:rPr>
                <w:rFonts w:ascii="宋体" w:hAnsi="宋体"/>
                <w:color w:val="auto"/>
                <w:sz w:val="24"/>
                <w:szCs w:val="24"/>
              </w:rPr>
            </w:pPr>
          </w:p>
        </w:tc>
        <w:tc>
          <w:tcPr>
            <w:tcW w:w="1984" w:type="dxa"/>
            <w:vAlign w:val="center"/>
          </w:tcPr>
          <w:p w14:paraId="0706B269">
            <w:pPr>
              <w:widowControl w:val="0"/>
              <w:spacing w:line="440" w:lineRule="exact"/>
              <w:jc w:val="center"/>
              <w:rPr>
                <w:rFonts w:ascii="宋体" w:hAnsi="宋体"/>
                <w:color w:val="auto"/>
                <w:sz w:val="24"/>
                <w:szCs w:val="24"/>
              </w:rPr>
            </w:pPr>
          </w:p>
        </w:tc>
      </w:tr>
      <w:tr w14:paraId="31EF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14:paraId="2E24BDF5">
            <w:pPr>
              <w:widowControl w:val="0"/>
              <w:spacing w:line="440" w:lineRule="exact"/>
              <w:jc w:val="left"/>
              <w:rPr>
                <w:rFonts w:ascii="宋体" w:hAnsi="宋体"/>
                <w:color w:val="auto"/>
                <w:sz w:val="24"/>
                <w:szCs w:val="24"/>
              </w:rPr>
            </w:pPr>
            <w:r>
              <w:rPr>
                <w:rFonts w:hint="eastAsia" w:ascii="仿宋" w:hAnsi="仿宋" w:eastAsia="仿宋"/>
                <w:b/>
                <w:color w:val="auto"/>
                <w:sz w:val="24"/>
                <w:szCs w:val="24"/>
              </w:rPr>
              <w:t>数量合计（个）</w:t>
            </w:r>
            <w:r>
              <w:rPr>
                <w:rFonts w:hint="eastAsia" w:ascii="宋体" w:hAnsi="宋体"/>
                <w:color w:val="auto"/>
                <w:sz w:val="24"/>
                <w:szCs w:val="24"/>
              </w:rPr>
              <w:t>：</w:t>
            </w:r>
          </w:p>
        </w:tc>
      </w:tr>
    </w:tbl>
    <w:p w14:paraId="014CB219">
      <w:pPr>
        <w:tabs>
          <w:tab w:val="right" w:pos="9070"/>
        </w:tabs>
        <w:snapToGrid w:val="0"/>
        <w:spacing w:line="240" w:lineRule="auto"/>
        <w:rPr>
          <w:rFonts w:ascii="华文仿宋" w:hAnsi="华文仿宋" w:cs="华文仿宋"/>
          <w:b/>
          <w:bCs/>
          <w:color w:val="auto"/>
        </w:rPr>
      </w:pPr>
      <w:r>
        <w:rPr>
          <w:rFonts w:hint="eastAsia"/>
          <w:color w:val="auto"/>
          <w:sz w:val="24"/>
          <w:szCs w:val="24"/>
        </w:rPr>
        <w:t xml:space="preserve">    注：后附</w:t>
      </w:r>
      <w:r>
        <w:rPr>
          <w:rFonts w:hint="eastAsia" w:ascii="仿宋" w:hAnsi="仿宋" w:eastAsia="仿宋" w:cs="仿宋"/>
          <w:bCs/>
          <w:color w:val="auto"/>
          <w:sz w:val="24"/>
          <w:szCs w:val="24"/>
        </w:rPr>
        <w:t>201</w:t>
      </w:r>
      <w:r>
        <w:rPr>
          <w:rFonts w:hint="eastAsia" w:ascii="仿宋" w:hAnsi="仿宋" w:eastAsia="仿宋" w:cs="仿宋"/>
          <w:bCs/>
          <w:color w:val="auto"/>
          <w:sz w:val="24"/>
          <w:szCs w:val="24"/>
          <w:lang w:val="en-US" w:eastAsia="zh-CN"/>
        </w:rPr>
        <w:t>8</w:t>
      </w:r>
      <w:r>
        <w:rPr>
          <w:rFonts w:hint="eastAsia" w:ascii="仿宋" w:hAnsi="仿宋" w:eastAsia="仿宋" w:cs="仿宋"/>
          <w:bCs/>
          <w:color w:val="auto"/>
          <w:sz w:val="24"/>
          <w:szCs w:val="24"/>
        </w:rPr>
        <w:t>年</w:t>
      </w:r>
      <w:r>
        <w:rPr>
          <w:rFonts w:hint="eastAsia" w:ascii="仿宋" w:hAnsi="仿宋" w:eastAsia="仿宋" w:cs="仿宋"/>
          <w:bCs/>
          <w:color w:val="auto"/>
          <w:sz w:val="24"/>
          <w:szCs w:val="24"/>
          <w:lang w:val="en-US" w:eastAsia="zh-CN"/>
        </w:rPr>
        <w:t>1</w:t>
      </w:r>
      <w:r>
        <w:rPr>
          <w:rFonts w:hint="eastAsia" w:ascii="仿宋" w:hAnsi="仿宋" w:eastAsia="仿宋" w:cs="仿宋"/>
          <w:bCs/>
          <w:color w:val="auto"/>
          <w:sz w:val="24"/>
          <w:szCs w:val="24"/>
        </w:rPr>
        <w:t>月1日以来同类项目业绩，以合同签订日期为准，并加盖供应商公章的合同关键页复印件</w:t>
      </w:r>
      <w:r>
        <w:rPr>
          <w:rFonts w:hint="eastAsia" w:ascii="华文仿宋" w:hAnsi="华文仿宋" w:cs="华文仿宋"/>
          <w:color w:val="auto"/>
          <w:sz w:val="24"/>
          <w:szCs w:val="24"/>
        </w:rPr>
        <w:t>。</w:t>
      </w:r>
    </w:p>
    <w:p w14:paraId="73BCD4C1">
      <w:pPr>
        <w:tabs>
          <w:tab w:val="right" w:pos="9070"/>
        </w:tabs>
        <w:snapToGrid w:val="0"/>
        <w:spacing w:line="500" w:lineRule="exact"/>
        <w:ind w:left="566" w:leftChars="200"/>
        <w:rPr>
          <w:rFonts w:ascii="Calibri" w:hAnsi="Calibri" w:cs="Calibri"/>
          <w:color w:val="auto"/>
          <w:szCs w:val="21"/>
        </w:rPr>
      </w:pPr>
      <w:r>
        <w:rPr>
          <w:rFonts w:hint="eastAsia" w:ascii="华文仿宋" w:hAnsi="华文仿宋" w:cs="华文仿宋"/>
          <w:b/>
          <w:bCs/>
          <w:color w:val="auto"/>
        </w:rPr>
        <w:t>（二）</w:t>
      </w:r>
      <w:r>
        <w:rPr>
          <w:rFonts w:hint="eastAsia" w:ascii="Calibri" w:hAnsi="Calibri" w:cs="Calibri"/>
          <w:b/>
          <w:bCs/>
          <w:color w:val="auto"/>
          <w:szCs w:val="21"/>
        </w:rPr>
        <w:t>项目团队样表（仅供参考）</w:t>
      </w:r>
    </w:p>
    <w:p w14:paraId="528E0016">
      <w:pPr>
        <w:tabs>
          <w:tab w:val="right" w:pos="9070"/>
        </w:tabs>
        <w:spacing w:line="500" w:lineRule="exact"/>
        <w:ind w:firstLine="566" w:firstLineChars="200"/>
        <w:rPr>
          <w:rFonts w:ascii="Calibri" w:hAnsi="Calibri" w:cs="Calibri"/>
          <w:color w:val="auto"/>
        </w:rPr>
      </w:pPr>
      <w:r>
        <w:rPr>
          <w:rFonts w:hint="eastAsia" w:ascii="Calibri" w:hAnsi="Calibri" w:cs="Calibri"/>
          <w:color w:val="auto"/>
        </w:rPr>
        <w:t>1、项目团队情况概述</w:t>
      </w:r>
    </w:p>
    <w:p w14:paraId="31199FC9">
      <w:pPr>
        <w:tabs>
          <w:tab w:val="right" w:pos="9070"/>
        </w:tabs>
        <w:spacing w:line="500" w:lineRule="exact"/>
        <w:ind w:firstLine="566" w:firstLineChars="200"/>
        <w:rPr>
          <w:rFonts w:ascii="Calibri" w:hAnsi="Calibri" w:cs="Calibri"/>
          <w:color w:val="auto"/>
        </w:rPr>
      </w:pPr>
      <w:r>
        <w:rPr>
          <w:rFonts w:hint="eastAsia" w:ascii="Calibri" w:hAnsi="Calibri" w:cs="Calibri"/>
          <w:color w:val="auto"/>
        </w:rPr>
        <w:t>概述内容包括但不限于为本项目提供服务的团队整体情况、团队负责人、联系人基本情况、背景、能力介绍等，具体内容自行编制。</w:t>
      </w:r>
    </w:p>
    <w:p w14:paraId="7D3DFB1A">
      <w:pPr>
        <w:tabs>
          <w:tab w:val="right" w:pos="9070"/>
        </w:tabs>
        <w:spacing w:line="500" w:lineRule="exact"/>
        <w:ind w:firstLine="566" w:firstLineChars="200"/>
        <w:rPr>
          <w:rFonts w:ascii="Calibri" w:hAnsi="Calibri" w:cs="Calibri"/>
          <w:color w:val="auto"/>
        </w:rPr>
      </w:pPr>
      <w:r>
        <w:rPr>
          <w:rFonts w:hint="eastAsia" w:ascii="Calibri" w:hAnsi="Calibri" w:cs="Calibri"/>
          <w:color w:val="auto"/>
        </w:rPr>
        <w:t>2、项目团队人员清单</w:t>
      </w:r>
    </w:p>
    <w:tbl>
      <w:tblPr>
        <w:tblStyle w:val="2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4210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799BE26D">
            <w:pPr>
              <w:tabs>
                <w:tab w:val="right" w:pos="9070"/>
              </w:tabs>
              <w:spacing w:line="500" w:lineRule="exact"/>
              <w:ind w:firstLine="486" w:firstLineChars="200"/>
              <w:rPr>
                <w:rFonts w:ascii="仿宋" w:hAnsi="仿宋" w:eastAsia="仿宋" w:cs="仿宋"/>
                <w:color w:val="auto"/>
                <w:sz w:val="24"/>
                <w:szCs w:val="24"/>
              </w:rPr>
            </w:pPr>
            <w:r>
              <w:rPr>
                <w:rFonts w:hint="eastAsia" w:ascii="仿宋" w:hAnsi="仿宋" w:eastAsia="仿宋" w:cs="仿宋"/>
                <w:color w:val="auto"/>
                <w:sz w:val="24"/>
                <w:szCs w:val="24"/>
              </w:rPr>
              <w:t>1、项目负责人/技术负责人</w:t>
            </w:r>
          </w:p>
        </w:tc>
      </w:tr>
      <w:tr w14:paraId="270F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3F1FC89">
            <w:pPr>
              <w:jc w:val="center"/>
              <w:rPr>
                <w:rFonts w:ascii="仿宋" w:hAnsi="仿宋" w:eastAsia="仿宋" w:cs="仿宋"/>
                <w:color w:val="auto"/>
                <w:sz w:val="24"/>
                <w:szCs w:val="24"/>
              </w:rPr>
            </w:pPr>
            <w:r>
              <w:rPr>
                <w:rFonts w:hint="eastAsia" w:ascii="仿宋" w:hAnsi="仿宋" w:eastAsia="仿宋" w:cs="仿宋"/>
                <w:color w:val="auto"/>
                <w:sz w:val="24"/>
                <w:szCs w:val="24"/>
              </w:rPr>
              <w:t>姓名</w:t>
            </w:r>
          </w:p>
        </w:tc>
        <w:tc>
          <w:tcPr>
            <w:tcW w:w="969" w:type="dxa"/>
            <w:tcBorders>
              <w:left w:val="single" w:color="auto" w:sz="6" w:space="0"/>
            </w:tcBorders>
            <w:vAlign w:val="center"/>
          </w:tcPr>
          <w:p w14:paraId="314E8FB6">
            <w:pPr>
              <w:jc w:val="center"/>
              <w:rPr>
                <w:rFonts w:ascii="仿宋" w:hAnsi="仿宋" w:eastAsia="仿宋" w:cs="仿宋"/>
                <w:color w:val="auto"/>
                <w:sz w:val="24"/>
                <w:szCs w:val="24"/>
              </w:rPr>
            </w:pPr>
            <w:r>
              <w:rPr>
                <w:rFonts w:hint="eastAsia" w:ascii="仿宋" w:hAnsi="仿宋" w:eastAsia="仿宋" w:cs="仿宋"/>
                <w:color w:val="auto"/>
                <w:sz w:val="24"/>
                <w:szCs w:val="24"/>
              </w:rPr>
              <w:t>年龄</w:t>
            </w:r>
          </w:p>
        </w:tc>
        <w:tc>
          <w:tcPr>
            <w:tcW w:w="1260" w:type="dxa"/>
            <w:vAlign w:val="center"/>
          </w:tcPr>
          <w:p w14:paraId="75B5AEE2">
            <w:pPr>
              <w:jc w:val="center"/>
              <w:rPr>
                <w:rFonts w:ascii="仿宋" w:hAnsi="仿宋" w:eastAsia="仿宋" w:cs="仿宋"/>
                <w:color w:val="auto"/>
                <w:sz w:val="24"/>
                <w:szCs w:val="24"/>
              </w:rPr>
            </w:pPr>
            <w:r>
              <w:rPr>
                <w:rFonts w:hint="eastAsia" w:ascii="仿宋" w:hAnsi="仿宋" w:eastAsia="仿宋" w:cs="仿宋"/>
                <w:color w:val="auto"/>
                <w:sz w:val="24"/>
                <w:szCs w:val="24"/>
              </w:rPr>
              <w:t>资格</w:t>
            </w:r>
          </w:p>
        </w:tc>
        <w:tc>
          <w:tcPr>
            <w:tcW w:w="1387" w:type="dxa"/>
            <w:gridSpan w:val="2"/>
            <w:vAlign w:val="center"/>
          </w:tcPr>
          <w:p w14:paraId="44E4FDC3">
            <w:pPr>
              <w:jc w:val="center"/>
              <w:rPr>
                <w:rFonts w:ascii="仿宋" w:hAnsi="仿宋" w:eastAsia="仿宋" w:cs="仿宋"/>
                <w:color w:val="auto"/>
                <w:sz w:val="24"/>
                <w:szCs w:val="24"/>
              </w:rPr>
            </w:pPr>
            <w:r>
              <w:rPr>
                <w:rFonts w:hint="eastAsia" w:ascii="仿宋" w:hAnsi="仿宋" w:eastAsia="仿宋" w:cs="仿宋"/>
                <w:color w:val="auto"/>
                <w:sz w:val="24"/>
                <w:szCs w:val="24"/>
              </w:rPr>
              <w:t>职称</w:t>
            </w:r>
          </w:p>
        </w:tc>
        <w:tc>
          <w:tcPr>
            <w:tcW w:w="1604" w:type="dxa"/>
            <w:gridSpan w:val="3"/>
            <w:vAlign w:val="center"/>
          </w:tcPr>
          <w:p w14:paraId="1532F2CA">
            <w:pPr>
              <w:spacing w:line="280" w:lineRule="exact"/>
              <w:jc w:val="center"/>
              <w:rPr>
                <w:rFonts w:ascii="仿宋" w:hAnsi="仿宋" w:eastAsia="仿宋" w:cs="仿宋"/>
                <w:color w:val="auto"/>
                <w:sz w:val="24"/>
                <w:szCs w:val="24"/>
              </w:rPr>
            </w:pPr>
            <w:r>
              <w:rPr>
                <w:rFonts w:hint="eastAsia" w:ascii="仿宋" w:hAnsi="仿宋" w:eastAsia="仿宋" w:cs="仿宋"/>
                <w:color w:val="auto"/>
                <w:sz w:val="24"/>
                <w:szCs w:val="24"/>
              </w:rPr>
              <w:t>在本行业从业工作年限</w:t>
            </w:r>
          </w:p>
        </w:tc>
        <w:tc>
          <w:tcPr>
            <w:tcW w:w="1740" w:type="dxa"/>
            <w:tcBorders>
              <w:right w:val="single" w:color="auto" w:sz="2" w:space="0"/>
            </w:tcBorders>
            <w:vAlign w:val="center"/>
          </w:tcPr>
          <w:p w14:paraId="79299AE3">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主要工作</w:t>
            </w:r>
          </w:p>
          <w:p w14:paraId="36C6045C">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业绩和经历</w:t>
            </w:r>
          </w:p>
        </w:tc>
        <w:tc>
          <w:tcPr>
            <w:tcW w:w="1091" w:type="dxa"/>
            <w:gridSpan w:val="2"/>
            <w:tcBorders>
              <w:left w:val="single" w:color="auto" w:sz="2" w:space="0"/>
              <w:right w:val="single" w:color="auto" w:sz="12" w:space="0"/>
            </w:tcBorders>
            <w:vAlign w:val="center"/>
          </w:tcPr>
          <w:p w14:paraId="780DF2A6">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当前</w:t>
            </w:r>
          </w:p>
          <w:p w14:paraId="41400C44">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分工</w:t>
            </w:r>
          </w:p>
        </w:tc>
      </w:tr>
      <w:tr w14:paraId="1353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5B60826">
            <w:pPr>
              <w:rPr>
                <w:rFonts w:ascii="仿宋" w:hAnsi="仿宋" w:eastAsia="仿宋" w:cs="仿宋"/>
                <w:color w:val="auto"/>
                <w:sz w:val="24"/>
                <w:szCs w:val="24"/>
              </w:rPr>
            </w:pPr>
          </w:p>
        </w:tc>
        <w:tc>
          <w:tcPr>
            <w:tcW w:w="969" w:type="dxa"/>
            <w:tcBorders>
              <w:left w:val="single" w:color="auto" w:sz="6" w:space="0"/>
            </w:tcBorders>
            <w:vAlign w:val="center"/>
          </w:tcPr>
          <w:p w14:paraId="48C1289E">
            <w:pPr>
              <w:rPr>
                <w:rFonts w:ascii="仿宋" w:hAnsi="仿宋" w:eastAsia="仿宋" w:cs="仿宋"/>
                <w:color w:val="auto"/>
                <w:sz w:val="24"/>
                <w:szCs w:val="24"/>
              </w:rPr>
            </w:pPr>
          </w:p>
        </w:tc>
        <w:tc>
          <w:tcPr>
            <w:tcW w:w="1260" w:type="dxa"/>
            <w:vAlign w:val="center"/>
          </w:tcPr>
          <w:p w14:paraId="0A834E91">
            <w:pPr>
              <w:rPr>
                <w:rFonts w:ascii="仿宋" w:hAnsi="仿宋" w:eastAsia="仿宋" w:cs="仿宋"/>
                <w:color w:val="auto"/>
                <w:sz w:val="24"/>
                <w:szCs w:val="24"/>
              </w:rPr>
            </w:pPr>
          </w:p>
        </w:tc>
        <w:tc>
          <w:tcPr>
            <w:tcW w:w="1387" w:type="dxa"/>
            <w:gridSpan w:val="2"/>
            <w:vAlign w:val="center"/>
          </w:tcPr>
          <w:p w14:paraId="2701D01C">
            <w:pPr>
              <w:rPr>
                <w:rFonts w:ascii="仿宋" w:hAnsi="仿宋" w:eastAsia="仿宋" w:cs="仿宋"/>
                <w:color w:val="auto"/>
                <w:sz w:val="24"/>
                <w:szCs w:val="24"/>
              </w:rPr>
            </w:pPr>
          </w:p>
        </w:tc>
        <w:tc>
          <w:tcPr>
            <w:tcW w:w="1604" w:type="dxa"/>
            <w:gridSpan w:val="3"/>
            <w:vAlign w:val="center"/>
          </w:tcPr>
          <w:p w14:paraId="7D1DDD72">
            <w:pPr>
              <w:rPr>
                <w:rFonts w:ascii="仿宋" w:hAnsi="仿宋" w:eastAsia="仿宋" w:cs="仿宋"/>
                <w:color w:val="auto"/>
                <w:sz w:val="24"/>
                <w:szCs w:val="24"/>
              </w:rPr>
            </w:pPr>
          </w:p>
        </w:tc>
        <w:tc>
          <w:tcPr>
            <w:tcW w:w="1740" w:type="dxa"/>
            <w:tcBorders>
              <w:right w:val="single" w:color="auto" w:sz="2" w:space="0"/>
            </w:tcBorders>
            <w:vAlign w:val="center"/>
          </w:tcPr>
          <w:p w14:paraId="0FC6696A">
            <w:pPr>
              <w:rPr>
                <w:rFonts w:ascii="仿宋" w:hAnsi="仿宋" w:eastAsia="仿宋" w:cs="仿宋"/>
                <w:color w:val="auto"/>
                <w:sz w:val="24"/>
                <w:szCs w:val="24"/>
              </w:rPr>
            </w:pPr>
          </w:p>
        </w:tc>
        <w:tc>
          <w:tcPr>
            <w:tcW w:w="1091" w:type="dxa"/>
            <w:gridSpan w:val="2"/>
            <w:tcBorders>
              <w:left w:val="single" w:color="auto" w:sz="2" w:space="0"/>
              <w:right w:val="single" w:color="auto" w:sz="12" w:space="0"/>
            </w:tcBorders>
            <w:vAlign w:val="center"/>
          </w:tcPr>
          <w:p w14:paraId="71775370">
            <w:pPr>
              <w:rPr>
                <w:rFonts w:ascii="仿宋" w:hAnsi="仿宋" w:eastAsia="仿宋" w:cs="仿宋"/>
                <w:color w:val="auto"/>
                <w:sz w:val="24"/>
                <w:szCs w:val="24"/>
              </w:rPr>
            </w:pPr>
          </w:p>
        </w:tc>
      </w:tr>
      <w:tr w14:paraId="7070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1A0E2E5F">
            <w:pPr>
              <w:rPr>
                <w:rFonts w:ascii="仿宋" w:hAnsi="仿宋" w:eastAsia="仿宋" w:cs="仿宋"/>
                <w:color w:val="auto"/>
                <w:sz w:val="24"/>
                <w:szCs w:val="24"/>
              </w:rPr>
            </w:pPr>
          </w:p>
        </w:tc>
        <w:tc>
          <w:tcPr>
            <w:tcW w:w="969" w:type="dxa"/>
            <w:tcBorders>
              <w:left w:val="single" w:color="auto" w:sz="6" w:space="0"/>
            </w:tcBorders>
            <w:vAlign w:val="center"/>
          </w:tcPr>
          <w:p w14:paraId="1A34F8C4">
            <w:pPr>
              <w:rPr>
                <w:rFonts w:ascii="仿宋" w:hAnsi="仿宋" w:eastAsia="仿宋" w:cs="仿宋"/>
                <w:color w:val="auto"/>
                <w:sz w:val="24"/>
                <w:szCs w:val="24"/>
              </w:rPr>
            </w:pPr>
          </w:p>
        </w:tc>
        <w:tc>
          <w:tcPr>
            <w:tcW w:w="1260" w:type="dxa"/>
            <w:vAlign w:val="center"/>
          </w:tcPr>
          <w:p w14:paraId="07B0C577">
            <w:pPr>
              <w:rPr>
                <w:rFonts w:ascii="仿宋" w:hAnsi="仿宋" w:eastAsia="仿宋" w:cs="仿宋"/>
                <w:color w:val="auto"/>
                <w:sz w:val="24"/>
                <w:szCs w:val="24"/>
              </w:rPr>
            </w:pPr>
          </w:p>
        </w:tc>
        <w:tc>
          <w:tcPr>
            <w:tcW w:w="1387" w:type="dxa"/>
            <w:gridSpan w:val="2"/>
            <w:vAlign w:val="center"/>
          </w:tcPr>
          <w:p w14:paraId="4BAACCC7">
            <w:pPr>
              <w:rPr>
                <w:rFonts w:ascii="仿宋" w:hAnsi="仿宋" w:eastAsia="仿宋" w:cs="仿宋"/>
                <w:color w:val="auto"/>
                <w:sz w:val="24"/>
                <w:szCs w:val="24"/>
              </w:rPr>
            </w:pPr>
          </w:p>
        </w:tc>
        <w:tc>
          <w:tcPr>
            <w:tcW w:w="1604" w:type="dxa"/>
            <w:gridSpan w:val="3"/>
            <w:vAlign w:val="center"/>
          </w:tcPr>
          <w:p w14:paraId="23E8C92D">
            <w:pPr>
              <w:rPr>
                <w:rFonts w:ascii="仿宋" w:hAnsi="仿宋" w:eastAsia="仿宋" w:cs="仿宋"/>
                <w:color w:val="auto"/>
                <w:sz w:val="24"/>
                <w:szCs w:val="24"/>
              </w:rPr>
            </w:pPr>
          </w:p>
        </w:tc>
        <w:tc>
          <w:tcPr>
            <w:tcW w:w="1740" w:type="dxa"/>
            <w:tcBorders>
              <w:right w:val="single" w:color="auto" w:sz="2" w:space="0"/>
            </w:tcBorders>
            <w:vAlign w:val="center"/>
          </w:tcPr>
          <w:p w14:paraId="480C30FD">
            <w:pPr>
              <w:rPr>
                <w:rFonts w:ascii="仿宋" w:hAnsi="仿宋" w:eastAsia="仿宋" w:cs="仿宋"/>
                <w:color w:val="auto"/>
                <w:sz w:val="24"/>
                <w:szCs w:val="24"/>
              </w:rPr>
            </w:pPr>
          </w:p>
        </w:tc>
        <w:tc>
          <w:tcPr>
            <w:tcW w:w="1091" w:type="dxa"/>
            <w:gridSpan w:val="2"/>
            <w:tcBorders>
              <w:left w:val="single" w:color="auto" w:sz="2" w:space="0"/>
              <w:right w:val="single" w:color="auto" w:sz="12" w:space="0"/>
            </w:tcBorders>
            <w:vAlign w:val="center"/>
          </w:tcPr>
          <w:p w14:paraId="6DCFD6A9">
            <w:pPr>
              <w:rPr>
                <w:rFonts w:ascii="仿宋" w:hAnsi="仿宋" w:eastAsia="仿宋" w:cs="仿宋"/>
                <w:color w:val="auto"/>
                <w:sz w:val="24"/>
                <w:szCs w:val="24"/>
              </w:rPr>
            </w:pPr>
          </w:p>
        </w:tc>
      </w:tr>
      <w:tr w14:paraId="4D0C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2CD3BE1">
            <w:pPr>
              <w:rPr>
                <w:rFonts w:ascii="仿宋" w:hAnsi="仿宋" w:eastAsia="仿宋" w:cs="仿宋"/>
                <w:color w:val="auto"/>
                <w:sz w:val="24"/>
                <w:szCs w:val="24"/>
              </w:rPr>
            </w:pPr>
          </w:p>
        </w:tc>
        <w:tc>
          <w:tcPr>
            <w:tcW w:w="969" w:type="dxa"/>
            <w:tcBorders>
              <w:left w:val="single" w:color="auto" w:sz="6" w:space="0"/>
            </w:tcBorders>
            <w:vAlign w:val="center"/>
          </w:tcPr>
          <w:p w14:paraId="1CA20D8E">
            <w:pPr>
              <w:rPr>
                <w:rFonts w:ascii="仿宋" w:hAnsi="仿宋" w:eastAsia="仿宋" w:cs="仿宋"/>
                <w:color w:val="auto"/>
                <w:sz w:val="24"/>
                <w:szCs w:val="24"/>
              </w:rPr>
            </w:pPr>
          </w:p>
        </w:tc>
        <w:tc>
          <w:tcPr>
            <w:tcW w:w="1260" w:type="dxa"/>
            <w:vAlign w:val="center"/>
          </w:tcPr>
          <w:p w14:paraId="0BBF886D">
            <w:pPr>
              <w:rPr>
                <w:rFonts w:ascii="仿宋" w:hAnsi="仿宋" w:eastAsia="仿宋" w:cs="仿宋"/>
                <w:color w:val="auto"/>
                <w:sz w:val="24"/>
                <w:szCs w:val="24"/>
              </w:rPr>
            </w:pPr>
          </w:p>
        </w:tc>
        <w:tc>
          <w:tcPr>
            <w:tcW w:w="1387" w:type="dxa"/>
            <w:gridSpan w:val="2"/>
            <w:vAlign w:val="center"/>
          </w:tcPr>
          <w:p w14:paraId="117F5373">
            <w:pPr>
              <w:rPr>
                <w:rFonts w:ascii="仿宋" w:hAnsi="仿宋" w:eastAsia="仿宋" w:cs="仿宋"/>
                <w:color w:val="auto"/>
                <w:sz w:val="24"/>
                <w:szCs w:val="24"/>
              </w:rPr>
            </w:pPr>
          </w:p>
        </w:tc>
        <w:tc>
          <w:tcPr>
            <w:tcW w:w="1604" w:type="dxa"/>
            <w:gridSpan w:val="3"/>
            <w:vAlign w:val="center"/>
          </w:tcPr>
          <w:p w14:paraId="6BC86D0F">
            <w:pPr>
              <w:rPr>
                <w:rFonts w:ascii="仿宋" w:hAnsi="仿宋" w:eastAsia="仿宋" w:cs="仿宋"/>
                <w:color w:val="auto"/>
                <w:sz w:val="24"/>
                <w:szCs w:val="24"/>
              </w:rPr>
            </w:pPr>
          </w:p>
        </w:tc>
        <w:tc>
          <w:tcPr>
            <w:tcW w:w="1740" w:type="dxa"/>
            <w:tcBorders>
              <w:right w:val="single" w:color="auto" w:sz="2" w:space="0"/>
            </w:tcBorders>
            <w:vAlign w:val="center"/>
          </w:tcPr>
          <w:p w14:paraId="2DCE969A">
            <w:pPr>
              <w:rPr>
                <w:rFonts w:ascii="仿宋" w:hAnsi="仿宋" w:eastAsia="仿宋" w:cs="仿宋"/>
                <w:color w:val="auto"/>
                <w:sz w:val="24"/>
                <w:szCs w:val="24"/>
              </w:rPr>
            </w:pPr>
          </w:p>
        </w:tc>
        <w:tc>
          <w:tcPr>
            <w:tcW w:w="1091" w:type="dxa"/>
            <w:gridSpan w:val="2"/>
            <w:tcBorders>
              <w:left w:val="single" w:color="auto" w:sz="2" w:space="0"/>
              <w:right w:val="single" w:color="auto" w:sz="12" w:space="0"/>
            </w:tcBorders>
            <w:vAlign w:val="center"/>
          </w:tcPr>
          <w:p w14:paraId="67E759DE">
            <w:pPr>
              <w:rPr>
                <w:rFonts w:ascii="仿宋" w:hAnsi="仿宋" w:eastAsia="仿宋" w:cs="仿宋"/>
                <w:color w:val="auto"/>
                <w:sz w:val="24"/>
                <w:szCs w:val="24"/>
              </w:rPr>
            </w:pPr>
          </w:p>
        </w:tc>
      </w:tr>
      <w:tr w14:paraId="08D6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19607C5F">
            <w:pPr>
              <w:rPr>
                <w:rFonts w:ascii="仿宋" w:hAnsi="仿宋" w:eastAsia="仿宋" w:cs="仿宋"/>
                <w:color w:val="auto"/>
                <w:sz w:val="24"/>
                <w:szCs w:val="24"/>
              </w:rPr>
            </w:pPr>
            <w:r>
              <w:rPr>
                <w:rFonts w:hint="eastAsia" w:ascii="仿宋" w:hAnsi="仿宋" w:eastAsia="仿宋" w:cs="仿宋"/>
                <w:color w:val="auto"/>
                <w:sz w:val="24"/>
                <w:szCs w:val="24"/>
              </w:rPr>
              <w:t>2、专业人员</w:t>
            </w:r>
          </w:p>
        </w:tc>
      </w:tr>
      <w:tr w14:paraId="1884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59C8536">
            <w:pPr>
              <w:jc w:val="center"/>
              <w:rPr>
                <w:rFonts w:ascii="仿宋" w:hAnsi="仿宋" w:eastAsia="仿宋" w:cs="仿宋"/>
                <w:color w:val="auto"/>
                <w:sz w:val="24"/>
                <w:szCs w:val="24"/>
              </w:rPr>
            </w:pPr>
            <w:r>
              <w:rPr>
                <w:rFonts w:hint="eastAsia" w:ascii="仿宋" w:hAnsi="仿宋" w:eastAsia="仿宋" w:cs="仿宋"/>
                <w:color w:val="auto"/>
                <w:sz w:val="24"/>
                <w:szCs w:val="24"/>
              </w:rPr>
              <w:t>姓名</w:t>
            </w:r>
          </w:p>
        </w:tc>
        <w:tc>
          <w:tcPr>
            <w:tcW w:w="969" w:type="dxa"/>
            <w:tcBorders>
              <w:left w:val="single" w:color="auto" w:sz="6" w:space="0"/>
            </w:tcBorders>
            <w:vAlign w:val="center"/>
          </w:tcPr>
          <w:p w14:paraId="6F96A982">
            <w:pPr>
              <w:jc w:val="center"/>
              <w:rPr>
                <w:rFonts w:ascii="仿宋" w:hAnsi="仿宋" w:eastAsia="仿宋" w:cs="仿宋"/>
                <w:color w:val="auto"/>
                <w:sz w:val="24"/>
                <w:szCs w:val="24"/>
              </w:rPr>
            </w:pPr>
            <w:r>
              <w:rPr>
                <w:rFonts w:hint="eastAsia" w:ascii="仿宋" w:hAnsi="仿宋" w:eastAsia="仿宋" w:cs="仿宋"/>
                <w:color w:val="auto"/>
                <w:sz w:val="24"/>
                <w:szCs w:val="24"/>
              </w:rPr>
              <w:t>年龄</w:t>
            </w:r>
          </w:p>
        </w:tc>
        <w:tc>
          <w:tcPr>
            <w:tcW w:w="1260" w:type="dxa"/>
            <w:vAlign w:val="center"/>
          </w:tcPr>
          <w:p w14:paraId="5129DCE9">
            <w:pPr>
              <w:jc w:val="center"/>
              <w:rPr>
                <w:rFonts w:ascii="仿宋" w:hAnsi="仿宋" w:eastAsia="仿宋" w:cs="仿宋"/>
                <w:color w:val="auto"/>
                <w:sz w:val="24"/>
                <w:szCs w:val="24"/>
              </w:rPr>
            </w:pPr>
            <w:r>
              <w:rPr>
                <w:rFonts w:hint="eastAsia" w:ascii="仿宋" w:hAnsi="仿宋" w:eastAsia="仿宋" w:cs="仿宋"/>
                <w:color w:val="auto"/>
                <w:sz w:val="24"/>
                <w:szCs w:val="24"/>
              </w:rPr>
              <w:t>资格</w:t>
            </w:r>
          </w:p>
        </w:tc>
        <w:tc>
          <w:tcPr>
            <w:tcW w:w="1404" w:type="dxa"/>
            <w:gridSpan w:val="3"/>
            <w:vAlign w:val="center"/>
          </w:tcPr>
          <w:p w14:paraId="36D60858">
            <w:pPr>
              <w:jc w:val="center"/>
              <w:rPr>
                <w:rFonts w:ascii="仿宋" w:hAnsi="仿宋" w:eastAsia="仿宋" w:cs="仿宋"/>
                <w:color w:val="auto"/>
                <w:sz w:val="24"/>
                <w:szCs w:val="24"/>
              </w:rPr>
            </w:pPr>
            <w:r>
              <w:rPr>
                <w:rFonts w:hint="eastAsia" w:ascii="仿宋" w:hAnsi="仿宋" w:eastAsia="仿宋" w:cs="仿宋"/>
                <w:color w:val="auto"/>
                <w:sz w:val="24"/>
                <w:szCs w:val="24"/>
              </w:rPr>
              <w:t>职称</w:t>
            </w:r>
          </w:p>
        </w:tc>
        <w:tc>
          <w:tcPr>
            <w:tcW w:w="1587" w:type="dxa"/>
            <w:gridSpan w:val="2"/>
            <w:vAlign w:val="center"/>
          </w:tcPr>
          <w:p w14:paraId="1320EECC">
            <w:pPr>
              <w:spacing w:line="280" w:lineRule="exact"/>
              <w:jc w:val="center"/>
              <w:rPr>
                <w:rFonts w:ascii="仿宋" w:hAnsi="仿宋" w:eastAsia="仿宋" w:cs="仿宋"/>
                <w:color w:val="auto"/>
                <w:sz w:val="24"/>
                <w:szCs w:val="24"/>
              </w:rPr>
            </w:pPr>
            <w:r>
              <w:rPr>
                <w:rFonts w:hint="eastAsia" w:ascii="仿宋" w:hAnsi="仿宋" w:eastAsia="仿宋" w:cs="仿宋"/>
                <w:color w:val="auto"/>
                <w:sz w:val="24"/>
                <w:szCs w:val="24"/>
              </w:rPr>
              <w:t>在本行业从业工作年限</w:t>
            </w:r>
          </w:p>
        </w:tc>
        <w:tc>
          <w:tcPr>
            <w:tcW w:w="1782" w:type="dxa"/>
            <w:gridSpan w:val="2"/>
            <w:vAlign w:val="center"/>
          </w:tcPr>
          <w:p w14:paraId="410959C8">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主要工作</w:t>
            </w:r>
          </w:p>
          <w:p w14:paraId="432B62CF">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业绩和经历</w:t>
            </w:r>
          </w:p>
        </w:tc>
        <w:tc>
          <w:tcPr>
            <w:tcW w:w="1049" w:type="dxa"/>
            <w:tcBorders>
              <w:right w:val="single" w:color="auto" w:sz="12" w:space="0"/>
            </w:tcBorders>
            <w:vAlign w:val="center"/>
          </w:tcPr>
          <w:p w14:paraId="566496BD">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当前</w:t>
            </w:r>
          </w:p>
          <w:p w14:paraId="16779004">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分工</w:t>
            </w:r>
          </w:p>
        </w:tc>
      </w:tr>
      <w:tr w14:paraId="2F66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007CA5D3">
            <w:pPr>
              <w:rPr>
                <w:rFonts w:ascii="仿宋" w:hAnsi="仿宋" w:eastAsia="仿宋" w:cs="仿宋"/>
                <w:color w:val="auto"/>
                <w:sz w:val="24"/>
                <w:szCs w:val="24"/>
              </w:rPr>
            </w:pPr>
          </w:p>
        </w:tc>
        <w:tc>
          <w:tcPr>
            <w:tcW w:w="969" w:type="dxa"/>
            <w:tcBorders>
              <w:left w:val="single" w:color="auto" w:sz="6" w:space="0"/>
            </w:tcBorders>
            <w:vAlign w:val="center"/>
          </w:tcPr>
          <w:p w14:paraId="6321E487">
            <w:pPr>
              <w:rPr>
                <w:rFonts w:ascii="仿宋" w:hAnsi="仿宋" w:eastAsia="仿宋" w:cs="仿宋"/>
                <w:color w:val="auto"/>
                <w:sz w:val="24"/>
                <w:szCs w:val="24"/>
              </w:rPr>
            </w:pPr>
          </w:p>
        </w:tc>
        <w:tc>
          <w:tcPr>
            <w:tcW w:w="1260" w:type="dxa"/>
            <w:vAlign w:val="center"/>
          </w:tcPr>
          <w:p w14:paraId="6F0E5B4A">
            <w:pPr>
              <w:rPr>
                <w:rFonts w:ascii="仿宋" w:hAnsi="仿宋" w:eastAsia="仿宋" w:cs="仿宋"/>
                <w:color w:val="auto"/>
                <w:sz w:val="24"/>
                <w:szCs w:val="24"/>
              </w:rPr>
            </w:pPr>
          </w:p>
        </w:tc>
        <w:tc>
          <w:tcPr>
            <w:tcW w:w="1404" w:type="dxa"/>
            <w:gridSpan w:val="3"/>
            <w:vAlign w:val="center"/>
          </w:tcPr>
          <w:p w14:paraId="25BE3B84">
            <w:pPr>
              <w:rPr>
                <w:rFonts w:ascii="仿宋" w:hAnsi="仿宋" w:eastAsia="仿宋" w:cs="仿宋"/>
                <w:color w:val="auto"/>
                <w:sz w:val="24"/>
                <w:szCs w:val="24"/>
              </w:rPr>
            </w:pPr>
          </w:p>
        </w:tc>
        <w:tc>
          <w:tcPr>
            <w:tcW w:w="1587" w:type="dxa"/>
            <w:gridSpan w:val="2"/>
            <w:vAlign w:val="center"/>
          </w:tcPr>
          <w:p w14:paraId="63748B41">
            <w:pPr>
              <w:rPr>
                <w:rFonts w:ascii="仿宋" w:hAnsi="仿宋" w:eastAsia="仿宋" w:cs="仿宋"/>
                <w:color w:val="auto"/>
                <w:sz w:val="24"/>
                <w:szCs w:val="24"/>
              </w:rPr>
            </w:pPr>
          </w:p>
        </w:tc>
        <w:tc>
          <w:tcPr>
            <w:tcW w:w="1782" w:type="dxa"/>
            <w:gridSpan w:val="2"/>
            <w:vAlign w:val="center"/>
          </w:tcPr>
          <w:p w14:paraId="37242693">
            <w:pPr>
              <w:rPr>
                <w:rFonts w:ascii="仿宋" w:hAnsi="仿宋" w:eastAsia="仿宋" w:cs="仿宋"/>
                <w:color w:val="auto"/>
                <w:sz w:val="24"/>
                <w:szCs w:val="24"/>
              </w:rPr>
            </w:pPr>
          </w:p>
        </w:tc>
        <w:tc>
          <w:tcPr>
            <w:tcW w:w="1049" w:type="dxa"/>
            <w:tcBorders>
              <w:right w:val="single" w:color="auto" w:sz="12" w:space="0"/>
            </w:tcBorders>
            <w:vAlign w:val="center"/>
          </w:tcPr>
          <w:p w14:paraId="66A8EA4F">
            <w:pPr>
              <w:rPr>
                <w:rFonts w:ascii="仿宋" w:hAnsi="仿宋" w:eastAsia="仿宋" w:cs="仿宋"/>
                <w:color w:val="auto"/>
                <w:sz w:val="24"/>
                <w:szCs w:val="24"/>
              </w:rPr>
            </w:pPr>
          </w:p>
        </w:tc>
      </w:tr>
      <w:tr w14:paraId="3FCD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F217364">
            <w:pPr>
              <w:rPr>
                <w:rFonts w:ascii="仿宋" w:hAnsi="仿宋" w:eastAsia="仿宋" w:cs="仿宋"/>
                <w:color w:val="auto"/>
                <w:sz w:val="24"/>
                <w:szCs w:val="24"/>
              </w:rPr>
            </w:pPr>
          </w:p>
        </w:tc>
        <w:tc>
          <w:tcPr>
            <w:tcW w:w="969" w:type="dxa"/>
            <w:tcBorders>
              <w:left w:val="single" w:color="auto" w:sz="6" w:space="0"/>
            </w:tcBorders>
            <w:vAlign w:val="center"/>
          </w:tcPr>
          <w:p w14:paraId="73071378">
            <w:pPr>
              <w:rPr>
                <w:rFonts w:ascii="仿宋" w:hAnsi="仿宋" w:eastAsia="仿宋" w:cs="仿宋"/>
                <w:color w:val="auto"/>
                <w:sz w:val="24"/>
                <w:szCs w:val="24"/>
              </w:rPr>
            </w:pPr>
          </w:p>
        </w:tc>
        <w:tc>
          <w:tcPr>
            <w:tcW w:w="1260" w:type="dxa"/>
            <w:vAlign w:val="center"/>
          </w:tcPr>
          <w:p w14:paraId="67598412">
            <w:pPr>
              <w:rPr>
                <w:rFonts w:ascii="仿宋" w:hAnsi="仿宋" w:eastAsia="仿宋" w:cs="仿宋"/>
                <w:color w:val="auto"/>
                <w:sz w:val="24"/>
                <w:szCs w:val="24"/>
              </w:rPr>
            </w:pPr>
          </w:p>
        </w:tc>
        <w:tc>
          <w:tcPr>
            <w:tcW w:w="1404" w:type="dxa"/>
            <w:gridSpan w:val="3"/>
            <w:vAlign w:val="center"/>
          </w:tcPr>
          <w:p w14:paraId="1DFBB71E">
            <w:pPr>
              <w:rPr>
                <w:rFonts w:ascii="仿宋" w:hAnsi="仿宋" w:eastAsia="仿宋" w:cs="仿宋"/>
                <w:color w:val="auto"/>
                <w:sz w:val="24"/>
                <w:szCs w:val="24"/>
              </w:rPr>
            </w:pPr>
          </w:p>
        </w:tc>
        <w:tc>
          <w:tcPr>
            <w:tcW w:w="1587" w:type="dxa"/>
            <w:gridSpan w:val="2"/>
            <w:vAlign w:val="center"/>
          </w:tcPr>
          <w:p w14:paraId="0069D8D8">
            <w:pPr>
              <w:rPr>
                <w:rFonts w:ascii="仿宋" w:hAnsi="仿宋" w:eastAsia="仿宋" w:cs="仿宋"/>
                <w:color w:val="auto"/>
                <w:sz w:val="24"/>
                <w:szCs w:val="24"/>
              </w:rPr>
            </w:pPr>
          </w:p>
        </w:tc>
        <w:tc>
          <w:tcPr>
            <w:tcW w:w="1782" w:type="dxa"/>
            <w:gridSpan w:val="2"/>
            <w:vAlign w:val="center"/>
          </w:tcPr>
          <w:p w14:paraId="56B10E90">
            <w:pPr>
              <w:rPr>
                <w:rFonts w:ascii="仿宋" w:hAnsi="仿宋" w:eastAsia="仿宋" w:cs="仿宋"/>
                <w:color w:val="auto"/>
                <w:sz w:val="24"/>
                <w:szCs w:val="24"/>
              </w:rPr>
            </w:pPr>
          </w:p>
        </w:tc>
        <w:tc>
          <w:tcPr>
            <w:tcW w:w="1049" w:type="dxa"/>
            <w:tcBorders>
              <w:right w:val="single" w:color="auto" w:sz="12" w:space="0"/>
            </w:tcBorders>
            <w:vAlign w:val="center"/>
          </w:tcPr>
          <w:p w14:paraId="204B17FF">
            <w:pPr>
              <w:rPr>
                <w:rFonts w:ascii="仿宋" w:hAnsi="仿宋" w:eastAsia="仿宋" w:cs="仿宋"/>
                <w:color w:val="auto"/>
                <w:sz w:val="24"/>
                <w:szCs w:val="24"/>
              </w:rPr>
            </w:pPr>
          </w:p>
        </w:tc>
      </w:tr>
      <w:tr w14:paraId="09DA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6F84D64">
            <w:pPr>
              <w:rPr>
                <w:rFonts w:ascii="仿宋" w:hAnsi="仿宋" w:eastAsia="仿宋" w:cs="仿宋"/>
                <w:color w:val="auto"/>
                <w:sz w:val="24"/>
                <w:szCs w:val="24"/>
              </w:rPr>
            </w:pPr>
          </w:p>
        </w:tc>
        <w:tc>
          <w:tcPr>
            <w:tcW w:w="969" w:type="dxa"/>
            <w:tcBorders>
              <w:left w:val="single" w:color="auto" w:sz="6" w:space="0"/>
            </w:tcBorders>
            <w:vAlign w:val="center"/>
          </w:tcPr>
          <w:p w14:paraId="4B83A177">
            <w:pPr>
              <w:rPr>
                <w:rFonts w:ascii="仿宋" w:hAnsi="仿宋" w:eastAsia="仿宋" w:cs="仿宋"/>
                <w:color w:val="auto"/>
                <w:sz w:val="24"/>
                <w:szCs w:val="24"/>
              </w:rPr>
            </w:pPr>
          </w:p>
        </w:tc>
        <w:tc>
          <w:tcPr>
            <w:tcW w:w="1260" w:type="dxa"/>
            <w:vAlign w:val="center"/>
          </w:tcPr>
          <w:p w14:paraId="1BAA820C">
            <w:pPr>
              <w:rPr>
                <w:rFonts w:ascii="仿宋" w:hAnsi="仿宋" w:eastAsia="仿宋" w:cs="仿宋"/>
                <w:color w:val="auto"/>
                <w:sz w:val="24"/>
                <w:szCs w:val="24"/>
              </w:rPr>
            </w:pPr>
          </w:p>
        </w:tc>
        <w:tc>
          <w:tcPr>
            <w:tcW w:w="1404" w:type="dxa"/>
            <w:gridSpan w:val="3"/>
            <w:vAlign w:val="center"/>
          </w:tcPr>
          <w:p w14:paraId="7571D26F">
            <w:pPr>
              <w:rPr>
                <w:rFonts w:ascii="仿宋" w:hAnsi="仿宋" w:eastAsia="仿宋" w:cs="仿宋"/>
                <w:color w:val="auto"/>
                <w:sz w:val="24"/>
                <w:szCs w:val="24"/>
              </w:rPr>
            </w:pPr>
          </w:p>
        </w:tc>
        <w:tc>
          <w:tcPr>
            <w:tcW w:w="1587" w:type="dxa"/>
            <w:gridSpan w:val="2"/>
            <w:vAlign w:val="center"/>
          </w:tcPr>
          <w:p w14:paraId="6CF08604">
            <w:pPr>
              <w:rPr>
                <w:rFonts w:ascii="仿宋" w:hAnsi="仿宋" w:eastAsia="仿宋" w:cs="仿宋"/>
                <w:color w:val="auto"/>
                <w:sz w:val="24"/>
                <w:szCs w:val="24"/>
              </w:rPr>
            </w:pPr>
          </w:p>
        </w:tc>
        <w:tc>
          <w:tcPr>
            <w:tcW w:w="1782" w:type="dxa"/>
            <w:gridSpan w:val="2"/>
            <w:vAlign w:val="center"/>
          </w:tcPr>
          <w:p w14:paraId="4B4BB131">
            <w:pPr>
              <w:rPr>
                <w:rFonts w:ascii="仿宋" w:hAnsi="仿宋" w:eastAsia="仿宋" w:cs="仿宋"/>
                <w:color w:val="auto"/>
                <w:sz w:val="24"/>
                <w:szCs w:val="24"/>
              </w:rPr>
            </w:pPr>
          </w:p>
        </w:tc>
        <w:tc>
          <w:tcPr>
            <w:tcW w:w="1049" w:type="dxa"/>
            <w:tcBorders>
              <w:right w:val="single" w:color="auto" w:sz="12" w:space="0"/>
            </w:tcBorders>
            <w:vAlign w:val="center"/>
          </w:tcPr>
          <w:p w14:paraId="161C84A1">
            <w:pPr>
              <w:rPr>
                <w:rFonts w:ascii="仿宋" w:hAnsi="仿宋" w:eastAsia="仿宋" w:cs="仿宋"/>
                <w:color w:val="auto"/>
                <w:sz w:val="24"/>
                <w:szCs w:val="24"/>
              </w:rPr>
            </w:pPr>
          </w:p>
        </w:tc>
      </w:tr>
      <w:tr w14:paraId="7C5A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3FFC4FA2">
            <w:pPr>
              <w:rPr>
                <w:rFonts w:ascii="仿宋" w:hAnsi="仿宋" w:eastAsia="仿宋" w:cs="仿宋"/>
                <w:color w:val="auto"/>
                <w:sz w:val="24"/>
                <w:szCs w:val="24"/>
              </w:rPr>
            </w:pPr>
            <w:r>
              <w:rPr>
                <w:rFonts w:hint="eastAsia" w:ascii="仿宋" w:hAnsi="仿宋" w:eastAsia="仿宋" w:cs="仿宋"/>
                <w:color w:val="auto"/>
                <w:sz w:val="24"/>
                <w:szCs w:val="24"/>
              </w:rPr>
              <w:t>3、辅助人员</w:t>
            </w:r>
          </w:p>
        </w:tc>
      </w:tr>
      <w:tr w14:paraId="069F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1FCB670B">
            <w:pPr>
              <w:jc w:val="center"/>
              <w:rPr>
                <w:rFonts w:ascii="仿宋" w:hAnsi="仿宋" w:eastAsia="仿宋" w:cs="仿宋"/>
                <w:color w:val="auto"/>
                <w:sz w:val="24"/>
                <w:szCs w:val="24"/>
              </w:rPr>
            </w:pPr>
            <w:r>
              <w:rPr>
                <w:rFonts w:hint="eastAsia" w:ascii="仿宋" w:hAnsi="仿宋" w:eastAsia="仿宋" w:cs="仿宋"/>
                <w:color w:val="auto"/>
                <w:sz w:val="24"/>
                <w:szCs w:val="24"/>
              </w:rPr>
              <w:t>姓名</w:t>
            </w:r>
          </w:p>
        </w:tc>
        <w:tc>
          <w:tcPr>
            <w:tcW w:w="969" w:type="dxa"/>
            <w:tcBorders>
              <w:left w:val="single" w:color="auto" w:sz="6" w:space="0"/>
            </w:tcBorders>
            <w:vAlign w:val="center"/>
          </w:tcPr>
          <w:p w14:paraId="1306452A">
            <w:pPr>
              <w:jc w:val="center"/>
              <w:rPr>
                <w:rFonts w:ascii="仿宋" w:hAnsi="仿宋" w:eastAsia="仿宋" w:cs="仿宋"/>
                <w:color w:val="auto"/>
                <w:sz w:val="24"/>
                <w:szCs w:val="24"/>
              </w:rPr>
            </w:pPr>
            <w:r>
              <w:rPr>
                <w:rFonts w:hint="eastAsia" w:ascii="仿宋" w:hAnsi="仿宋" w:eastAsia="仿宋" w:cs="仿宋"/>
                <w:color w:val="auto"/>
                <w:sz w:val="24"/>
                <w:szCs w:val="24"/>
              </w:rPr>
              <w:t>年龄</w:t>
            </w:r>
          </w:p>
        </w:tc>
        <w:tc>
          <w:tcPr>
            <w:tcW w:w="1284" w:type="dxa"/>
            <w:gridSpan w:val="2"/>
            <w:tcBorders>
              <w:right w:val="single" w:color="auto" w:sz="2" w:space="0"/>
            </w:tcBorders>
            <w:vAlign w:val="center"/>
          </w:tcPr>
          <w:p w14:paraId="302872C9">
            <w:pPr>
              <w:jc w:val="center"/>
              <w:rPr>
                <w:rFonts w:ascii="仿宋" w:hAnsi="仿宋" w:eastAsia="仿宋" w:cs="仿宋"/>
                <w:color w:val="auto"/>
                <w:sz w:val="24"/>
                <w:szCs w:val="24"/>
              </w:rPr>
            </w:pPr>
            <w:r>
              <w:rPr>
                <w:rFonts w:hint="eastAsia" w:ascii="仿宋" w:hAnsi="仿宋" w:eastAsia="仿宋" w:cs="仿宋"/>
                <w:color w:val="auto"/>
                <w:sz w:val="24"/>
                <w:szCs w:val="24"/>
              </w:rPr>
              <w:t>学历</w:t>
            </w:r>
          </w:p>
        </w:tc>
        <w:tc>
          <w:tcPr>
            <w:tcW w:w="1386" w:type="dxa"/>
            <w:gridSpan w:val="3"/>
            <w:tcBorders>
              <w:left w:val="single" w:color="auto" w:sz="2" w:space="0"/>
            </w:tcBorders>
            <w:vAlign w:val="center"/>
          </w:tcPr>
          <w:p w14:paraId="3AD4D0BA">
            <w:pPr>
              <w:jc w:val="center"/>
              <w:rPr>
                <w:rFonts w:ascii="仿宋" w:hAnsi="仿宋" w:eastAsia="仿宋" w:cs="仿宋"/>
                <w:color w:val="auto"/>
                <w:sz w:val="24"/>
                <w:szCs w:val="24"/>
              </w:rPr>
            </w:pPr>
            <w:r>
              <w:rPr>
                <w:rFonts w:hint="eastAsia" w:ascii="仿宋" w:hAnsi="仿宋" w:eastAsia="仿宋" w:cs="仿宋"/>
                <w:color w:val="auto"/>
                <w:sz w:val="24"/>
                <w:szCs w:val="24"/>
              </w:rPr>
              <w:t>职称</w:t>
            </w:r>
          </w:p>
        </w:tc>
        <w:tc>
          <w:tcPr>
            <w:tcW w:w="1581" w:type="dxa"/>
            <w:vAlign w:val="center"/>
          </w:tcPr>
          <w:p w14:paraId="4F572279">
            <w:pPr>
              <w:spacing w:line="280" w:lineRule="exact"/>
              <w:jc w:val="center"/>
              <w:rPr>
                <w:rFonts w:ascii="仿宋" w:hAnsi="仿宋" w:eastAsia="仿宋" w:cs="仿宋"/>
                <w:color w:val="auto"/>
                <w:sz w:val="24"/>
                <w:szCs w:val="24"/>
              </w:rPr>
            </w:pPr>
            <w:r>
              <w:rPr>
                <w:rFonts w:hint="eastAsia" w:ascii="仿宋" w:hAnsi="仿宋" w:eastAsia="仿宋" w:cs="仿宋"/>
                <w:color w:val="auto"/>
                <w:sz w:val="24"/>
                <w:szCs w:val="24"/>
              </w:rPr>
              <w:t>从事类似项目工作年限</w:t>
            </w:r>
          </w:p>
        </w:tc>
        <w:tc>
          <w:tcPr>
            <w:tcW w:w="1782" w:type="dxa"/>
            <w:gridSpan w:val="2"/>
            <w:vAlign w:val="center"/>
          </w:tcPr>
          <w:p w14:paraId="4E0FA927">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主要工作</w:t>
            </w:r>
          </w:p>
          <w:p w14:paraId="76DE97D0">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业绩和经历</w:t>
            </w:r>
          </w:p>
        </w:tc>
        <w:tc>
          <w:tcPr>
            <w:tcW w:w="1049" w:type="dxa"/>
            <w:tcBorders>
              <w:right w:val="single" w:color="auto" w:sz="12" w:space="0"/>
            </w:tcBorders>
            <w:vAlign w:val="center"/>
          </w:tcPr>
          <w:p w14:paraId="7C05414B">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当前</w:t>
            </w:r>
          </w:p>
          <w:p w14:paraId="5C8825D5">
            <w:pPr>
              <w:spacing w:line="240" w:lineRule="exact"/>
              <w:jc w:val="center"/>
              <w:rPr>
                <w:rFonts w:ascii="仿宋" w:hAnsi="仿宋" w:eastAsia="仿宋" w:cs="仿宋"/>
                <w:color w:val="auto"/>
                <w:sz w:val="24"/>
                <w:szCs w:val="24"/>
              </w:rPr>
            </w:pPr>
            <w:r>
              <w:rPr>
                <w:rFonts w:hint="eastAsia" w:ascii="仿宋" w:hAnsi="仿宋" w:eastAsia="仿宋" w:cs="仿宋"/>
                <w:color w:val="auto"/>
                <w:sz w:val="24"/>
                <w:szCs w:val="24"/>
              </w:rPr>
              <w:t>分工</w:t>
            </w:r>
          </w:p>
        </w:tc>
      </w:tr>
      <w:tr w14:paraId="37C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11F6765C">
            <w:pPr>
              <w:rPr>
                <w:rFonts w:ascii="仿宋" w:hAnsi="仿宋" w:eastAsia="仿宋" w:cs="仿宋"/>
                <w:color w:val="auto"/>
                <w:sz w:val="24"/>
                <w:szCs w:val="24"/>
              </w:rPr>
            </w:pPr>
          </w:p>
        </w:tc>
        <w:tc>
          <w:tcPr>
            <w:tcW w:w="969" w:type="dxa"/>
            <w:tcBorders>
              <w:left w:val="single" w:color="auto" w:sz="6" w:space="0"/>
            </w:tcBorders>
            <w:vAlign w:val="center"/>
          </w:tcPr>
          <w:p w14:paraId="544EF164">
            <w:pPr>
              <w:rPr>
                <w:rFonts w:ascii="仿宋" w:hAnsi="仿宋" w:eastAsia="仿宋" w:cs="仿宋"/>
                <w:color w:val="auto"/>
                <w:sz w:val="24"/>
                <w:szCs w:val="24"/>
              </w:rPr>
            </w:pPr>
          </w:p>
        </w:tc>
        <w:tc>
          <w:tcPr>
            <w:tcW w:w="1284" w:type="dxa"/>
            <w:gridSpan w:val="2"/>
            <w:tcBorders>
              <w:right w:val="single" w:color="auto" w:sz="2" w:space="0"/>
            </w:tcBorders>
            <w:vAlign w:val="center"/>
          </w:tcPr>
          <w:p w14:paraId="0915D33B">
            <w:pPr>
              <w:rPr>
                <w:rFonts w:ascii="仿宋" w:hAnsi="仿宋" w:eastAsia="仿宋" w:cs="仿宋"/>
                <w:color w:val="auto"/>
                <w:sz w:val="24"/>
                <w:szCs w:val="24"/>
              </w:rPr>
            </w:pPr>
          </w:p>
        </w:tc>
        <w:tc>
          <w:tcPr>
            <w:tcW w:w="1386" w:type="dxa"/>
            <w:gridSpan w:val="3"/>
            <w:tcBorders>
              <w:left w:val="single" w:color="auto" w:sz="2" w:space="0"/>
            </w:tcBorders>
            <w:vAlign w:val="center"/>
          </w:tcPr>
          <w:p w14:paraId="0BD9554C">
            <w:pPr>
              <w:rPr>
                <w:rFonts w:ascii="仿宋" w:hAnsi="仿宋" w:eastAsia="仿宋" w:cs="仿宋"/>
                <w:color w:val="auto"/>
                <w:sz w:val="24"/>
                <w:szCs w:val="24"/>
              </w:rPr>
            </w:pPr>
          </w:p>
        </w:tc>
        <w:tc>
          <w:tcPr>
            <w:tcW w:w="1581" w:type="dxa"/>
            <w:vAlign w:val="center"/>
          </w:tcPr>
          <w:p w14:paraId="52C9156F">
            <w:pPr>
              <w:rPr>
                <w:rFonts w:ascii="仿宋" w:hAnsi="仿宋" w:eastAsia="仿宋" w:cs="仿宋"/>
                <w:color w:val="auto"/>
                <w:sz w:val="24"/>
                <w:szCs w:val="24"/>
              </w:rPr>
            </w:pPr>
          </w:p>
        </w:tc>
        <w:tc>
          <w:tcPr>
            <w:tcW w:w="1782" w:type="dxa"/>
            <w:gridSpan w:val="2"/>
            <w:vAlign w:val="center"/>
          </w:tcPr>
          <w:p w14:paraId="07FFD914">
            <w:pPr>
              <w:rPr>
                <w:rFonts w:ascii="仿宋" w:hAnsi="仿宋" w:eastAsia="仿宋" w:cs="仿宋"/>
                <w:color w:val="auto"/>
                <w:sz w:val="24"/>
                <w:szCs w:val="24"/>
              </w:rPr>
            </w:pPr>
          </w:p>
        </w:tc>
        <w:tc>
          <w:tcPr>
            <w:tcW w:w="1049" w:type="dxa"/>
            <w:tcBorders>
              <w:right w:val="single" w:color="auto" w:sz="12" w:space="0"/>
            </w:tcBorders>
            <w:vAlign w:val="center"/>
          </w:tcPr>
          <w:p w14:paraId="319051BE">
            <w:pPr>
              <w:rPr>
                <w:rFonts w:ascii="仿宋" w:hAnsi="仿宋" w:eastAsia="仿宋" w:cs="仿宋"/>
                <w:color w:val="auto"/>
                <w:sz w:val="24"/>
                <w:szCs w:val="24"/>
              </w:rPr>
            </w:pPr>
          </w:p>
        </w:tc>
      </w:tr>
      <w:tr w14:paraId="372C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F384345">
            <w:pPr>
              <w:rPr>
                <w:rFonts w:ascii="仿宋" w:hAnsi="仿宋" w:eastAsia="仿宋" w:cs="仿宋"/>
                <w:color w:val="auto"/>
                <w:sz w:val="24"/>
                <w:szCs w:val="24"/>
              </w:rPr>
            </w:pPr>
          </w:p>
        </w:tc>
        <w:tc>
          <w:tcPr>
            <w:tcW w:w="969" w:type="dxa"/>
            <w:tcBorders>
              <w:left w:val="single" w:color="auto" w:sz="6" w:space="0"/>
            </w:tcBorders>
            <w:vAlign w:val="center"/>
          </w:tcPr>
          <w:p w14:paraId="11E882F9">
            <w:pPr>
              <w:rPr>
                <w:rFonts w:ascii="仿宋" w:hAnsi="仿宋" w:eastAsia="仿宋" w:cs="仿宋"/>
                <w:color w:val="auto"/>
                <w:sz w:val="24"/>
                <w:szCs w:val="24"/>
              </w:rPr>
            </w:pPr>
          </w:p>
        </w:tc>
        <w:tc>
          <w:tcPr>
            <w:tcW w:w="1284" w:type="dxa"/>
            <w:gridSpan w:val="2"/>
            <w:tcBorders>
              <w:right w:val="single" w:color="auto" w:sz="2" w:space="0"/>
            </w:tcBorders>
            <w:vAlign w:val="center"/>
          </w:tcPr>
          <w:p w14:paraId="6A28A522">
            <w:pPr>
              <w:rPr>
                <w:rFonts w:ascii="仿宋" w:hAnsi="仿宋" w:eastAsia="仿宋" w:cs="仿宋"/>
                <w:color w:val="auto"/>
                <w:sz w:val="24"/>
                <w:szCs w:val="24"/>
              </w:rPr>
            </w:pPr>
          </w:p>
        </w:tc>
        <w:tc>
          <w:tcPr>
            <w:tcW w:w="1386" w:type="dxa"/>
            <w:gridSpan w:val="3"/>
            <w:tcBorders>
              <w:left w:val="single" w:color="auto" w:sz="2" w:space="0"/>
            </w:tcBorders>
            <w:vAlign w:val="center"/>
          </w:tcPr>
          <w:p w14:paraId="4D889971">
            <w:pPr>
              <w:rPr>
                <w:rFonts w:ascii="仿宋" w:hAnsi="仿宋" w:eastAsia="仿宋" w:cs="仿宋"/>
                <w:color w:val="auto"/>
                <w:sz w:val="24"/>
                <w:szCs w:val="24"/>
              </w:rPr>
            </w:pPr>
          </w:p>
        </w:tc>
        <w:tc>
          <w:tcPr>
            <w:tcW w:w="1581" w:type="dxa"/>
            <w:vAlign w:val="center"/>
          </w:tcPr>
          <w:p w14:paraId="5C29487A">
            <w:pPr>
              <w:rPr>
                <w:rFonts w:ascii="仿宋" w:hAnsi="仿宋" w:eastAsia="仿宋" w:cs="仿宋"/>
                <w:color w:val="auto"/>
                <w:sz w:val="24"/>
                <w:szCs w:val="24"/>
              </w:rPr>
            </w:pPr>
          </w:p>
        </w:tc>
        <w:tc>
          <w:tcPr>
            <w:tcW w:w="1782" w:type="dxa"/>
            <w:gridSpan w:val="2"/>
            <w:vAlign w:val="center"/>
          </w:tcPr>
          <w:p w14:paraId="487669AA">
            <w:pPr>
              <w:rPr>
                <w:rFonts w:ascii="仿宋" w:hAnsi="仿宋" w:eastAsia="仿宋" w:cs="仿宋"/>
                <w:color w:val="auto"/>
                <w:sz w:val="24"/>
                <w:szCs w:val="24"/>
              </w:rPr>
            </w:pPr>
          </w:p>
        </w:tc>
        <w:tc>
          <w:tcPr>
            <w:tcW w:w="1049" w:type="dxa"/>
            <w:tcBorders>
              <w:right w:val="single" w:color="auto" w:sz="12" w:space="0"/>
            </w:tcBorders>
            <w:vAlign w:val="center"/>
          </w:tcPr>
          <w:p w14:paraId="17EBA99D">
            <w:pPr>
              <w:rPr>
                <w:rFonts w:ascii="仿宋" w:hAnsi="仿宋" w:eastAsia="仿宋" w:cs="仿宋"/>
                <w:color w:val="auto"/>
                <w:sz w:val="24"/>
                <w:szCs w:val="24"/>
              </w:rPr>
            </w:pPr>
          </w:p>
        </w:tc>
      </w:tr>
      <w:tr w14:paraId="5B06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16BEC5B5">
            <w:pPr>
              <w:rPr>
                <w:rFonts w:ascii="仿宋" w:hAnsi="仿宋" w:eastAsia="仿宋" w:cs="仿宋"/>
                <w:color w:val="auto"/>
                <w:sz w:val="24"/>
                <w:szCs w:val="24"/>
              </w:rPr>
            </w:pPr>
          </w:p>
        </w:tc>
        <w:tc>
          <w:tcPr>
            <w:tcW w:w="969" w:type="dxa"/>
            <w:tcBorders>
              <w:left w:val="single" w:color="auto" w:sz="6" w:space="0"/>
            </w:tcBorders>
            <w:vAlign w:val="center"/>
          </w:tcPr>
          <w:p w14:paraId="77D1548B">
            <w:pPr>
              <w:rPr>
                <w:rFonts w:ascii="仿宋" w:hAnsi="仿宋" w:eastAsia="仿宋" w:cs="仿宋"/>
                <w:color w:val="auto"/>
                <w:sz w:val="24"/>
                <w:szCs w:val="24"/>
              </w:rPr>
            </w:pPr>
          </w:p>
        </w:tc>
        <w:tc>
          <w:tcPr>
            <w:tcW w:w="1284" w:type="dxa"/>
            <w:gridSpan w:val="2"/>
            <w:tcBorders>
              <w:right w:val="single" w:color="auto" w:sz="2" w:space="0"/>
            </w:tcBorders>
            <w:vAlign w:val="center"/>
          </w:tcPr>
          <w:p w14:paraId="18A14E9B">
            <w:pPr>
              <w:rPr>
                <w:rFonts w:ascii="仿宋" w:hAnsi="仿宋" w:eastAsia="仿宋" w:cs="仿宋"/>
                <w:color w:val="auto"/>
                <w:sz w:val="24"/>
                <w:szCs w:val="24"/>
              </w:rPr>
            </w:pPr>
          </w:p>
        </w:tc>
        <w:tc>
          <w:tcPr>
            <w:tcW w:w="1386" w:type="dxa"/>
            <w:gridSpan w:val="3"/>
            <w:tcBorders>
              <w:left w:val="single" w:color="auto" w:sz="2" w:space="0"/>
            </w:tcBorders>
            <w:vAlign w:val="center"/>
          </w:tcPr>
          <w:p w14:paraId="7DE2B15B">
            <w:pPr>
              <w:rPr>
                <w:rFonts w:ascii="仿宋" w:hAnsi="仿宋" w:eastAsia="仿宋" w:cs="仿宋"/>
                <w:color w:val="auto"/>
                <w:sz w:val="24"/>
                <w:szCs w:val="24"/>
              </w:rPr>
            </w:pPr>
          </w:p>
        </w:tc>
        <w:tc>
          <w:tcPr>
            <w:tcW w:w="1581" w:type="dxa"/>
            <w:vAlign w:val="center"/>
          </w:tcPr>
          <w:p w14:paraId="21A2D65C">
            <w:pPr>
              <w:rPr>
                <w:rFonts w:ascii="仿宋" w:hAnsi="仿宋" w:eastAsia="仿宋" w:cs="仿宋"/>
                <w:color w:val="auto"/>
                <w:sz w:val="24"/>
                <w:szCs w:val="24"/>
              </w:rPr>
            </w:pPr>
          </w:p>
        </w:tc>
        <w:tc>
          <w:tcPr>
            <w:tcW w:w="1782" w:type="dxa"/>
            <w:gridSpan w:val="2"/>
            <w:vAlign w:val="center"/>
          </w:tcPr>
          <w:p w14:paraId="552BB555">
            <w:pPr>
              <w:rPr>
                <w:rFonts w:ascii="仿宋" w:hAnsi="仿宋" w:eastAsia="仿宋" w:cs="仿宋"/>
                <w:color w:val="auto"/>
                <w:sz w:val="24"/>
                <w:szCs w:val="24"/>
              </w:rPr>
            </w:pPr>
          </w:p>
        </w:tc>
        <w:tc>
          <w:tcPr>
            <w:tcW w:w="1049" w:type="dxa"/>
            <w:tcBorders>
              <w:right w:val="single" w:color="auto" w:sz="12" w:space="0"/>
            </w:tcBorders>
            <w:vAlign w:val="center"/>
          </w:tcPr>
          <w:p w14:paraId="7D21611E">
            <w:pPr>
              <w:rPr>
                <w:rFonts w:ascii="仿宋" w:hAnsi="仿宋" w:eastAsia="仿宋" w:cs="仿宋"/>
                <w:color w:val="auto"/>
                <w:sz w:val="24"/>
                <w:szCs w:val="24"/>
              </w:rPr>
            </w:pPr>
          </w:p>
        </w:tc>
      </w:tr>
      <w:tr w14:paraId="21EE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7BF20739">
            <w:pPr>
              <w:jc w:val="center"/>
              <w:rPr>
                <w:rFonts w:ascii="仿宋" w:hAnsi="仿宋" w:eastAsia="仿宋" w:cs="仿宋"/>
                <w:color w:val="auto"/>
                <w:sz w:val="24"/>
                <w:szCs w:val="24"/>
              </w:rPr>
            </w:pPr>
            <w:r>
              <w:rPr>
                <w:rFonts w:hint="eastAsia" w:ascii="仿宋" w:hAnsi="仿宋" w:eastAsia="仿宋" w:cs="仿宋"/>
                <w:color w:val="auto"/>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7F710885">
            <w:pPr>
              <w:rPr>
                <w:rFonts w:ascii="仿宋" w:hAnsi="仿宋" w:eastAsia="仿宋" w:cs="仿宋"/>
                <w:color w:val="auto"/>
                <w:sz w:val="24"/>
                <w:szCs w:val="24"/>
              </w:rPr>
            </w:pPr>
            <w:r>
              <w:rPr>
                <w:rFonts w:hint="eastAsia" w:ascii="仿宋" w:hAnsi="仿宋" w:eastAsia="仿宋" w:cs="仿宋"/>
                <w:color w:val="auto"/>
                <w:sz w:val="24"/>
                <w:szCs w:val="24"/>
              </w:rPr>
              <w:t>表格空间不足时请自行扩展。</w:t>
            </w:r>
          </w:p>
        </w:tc>
      </w:tr>
    </w:tbl>
    <w:p w14:paraId="7E5B2155">
      <w:pPr>
        <w:pStyle w:val="2"/>
        <w:ind w:firstLine="0" w:firstLineChars="0"/>
        <w:rPr>
          <w:rFonts w:ascii="黑体" w:hAnsi="黑体" w:eastAsia="黑体"/>
          <w:color w:val="auto"/>
        </w:rPr>
      </w:pPr>
    </w:p>
    <w:sectPr>
      <w:pgSz w:w="11906" w:h="16838"/>
      <w:pgMar w:top="1417" w:right="1417" w:bottom="1417" w:left="1417" w:header="850" w:footer="992" w:gutter="0"/>
      <w:pgNumType w:fmt="decimal"/>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KSOF0B7949D1">
    <w:panose1 w:val="02010600040101010101"/>
    <w:charset w:val="86"/>
    <w:family w:val="auto"/>
    <w:pitch w:val="default"/>
    <w:sig w:usb0="00000001" w:usb1="00000000" w:usb2="00000000" w:usb3="00000000" w:csb0="00040001" w:csb1="00000000"/>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6899C">
    <w:pPr>
      <w:pStyle w:val="16"/>
      <w:tabs>
        <w:tab w:val="clear" w:pos="4153"/>
        <w:tab w:val="clear" w:pos="8306"/>
      </w:tabs>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435F">
    <w:pPr>
      <w:pStyle w:val="16"/>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A0921">
    <w:pPr>
      <w:pStyle w:val="16"/>
      <w:tabs>
        <w:tab w:val="center" w:pos="4536"/>
        <w:tab w:val="right" w:pos="10489"/>
        <w:tab w:val="clear" w:pos="4153"/>
        <w:tab w:val="clear" w:pos="8306"/>
      </w:tabs>
      <w:jc w:val="center"/>
      <w:rPr>
        <w:rFonts w:ascii="宋体" w:hAnsi="宋体" w:eastAsia="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267ED">
                          <w:pPr>
                            <w:pStyle w:val="16"/>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w:t>
                          </w:r>
                          <w:r>
                            <w:rPr>
                              <w:rFonts w:hint="eastAsia"/>
                              <w:lang w:val="en-US" w:eastAsia="zh-CN"/>
                            </w:rPr>
                            <w:t>70</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F3267ED">
                    <w:pPr>
                      <w:pStyle w:val="16"/>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w:t>
                    </w:r>
                    <w:r>
                      <w:rPr>
                        <w:rFonts w:hint="eastAsia"/>
                        <w:lang w:val="en-US" w:eastAsia="zh-CN"/>
                      </w:rPr>
                      <w:t>70</w:t>
                    </w:r>
                    <w:r>
                      <w:rPr>
                        <w:rFonts w:hint="eastAsia"/>
                        <w:lang w:eastAsia="zh-CN"/>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7085">
    <w:pPr>
      <w:pStyle w:val="16"/>
      <w:tabs>
        <w:tab w:val="clear" w:pos="4153"/>
        <w:tab w:val="clear" w:pos="8306"/>
      </w:tabs>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A33869">
                          <w:pPr>
                            <w:pStyle w:val="16"/>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 共 </w:t>
                          </w:r>
                          <w:r>
                            <w:rPr>
                              <w:rFonts w:hint="eastAsia"/>
                              <w:lang w:val="en-US" w:eastAsia="zh-CN"/>
                            </w:rPr>
                            <w:t>70</w:t>
                          </w:r>
                          <w:r>
                            <w:rPr>
                              <w:rFonts w:hint="eastAsia"/>
                              <w:lang w:eastAsia="zh-CN"/>
                            </w:rPr>
                            <w:t xml:space="preserve"> 页</w:t>
                          </w:r>
                        </w:p>
                      </w:txbxContent>
                    </wps:txbx>
                    <wps:bodyPr vert="horz" wrap="none" lIns="0" tIns="0" rIns="0" bIns="0" anchor="t">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UWCo9ABAAClAwAADgAAAAAAAAABACAAAAAeAQAAZHJz&#10;L2Uyb0RvYy54bWxQSwUGAAAAAAYABgBZAQAAYAUAAAAA&#10;">
              <v:fill on="f" focussize="0,0"/>
              <v:stroke on="f"/>
              <v:imagedata o:title=""/>
              <o:lock v:ext="edit" aspectratio="f"/>
              <v:textbox inset="0mm,0mm,0mm,0mm" style="mso-fit-shape-to-text:t;">
                <w:txbxContent>
                  <w:p w14:paraId="0AA33869">
                    <w:pPr>
                      <w:pStyle w:val="16"/>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 共 </w:t>
                    </w:r>
                    <w:r>
                      <w:rPr>
                        <w:rFonts w:hint="eastAsia"/>
                        <w:lang w:val="en-US" w:eastAsia="zh-CN"/>
                      </w:rPr>
                      <w:t>70</w:t>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C4B9C">
    <w:pPr>
      <w:pStyle w:val="16"/>
      <w:tabs>
        <w:tab w:val="clear" w:pos="4153"/>
        <w:tab w:val="clear" w:pos="8306"/>
      </w:tabs>
      <w:jc w:val="center"/>
      <w:rPr>
        <w:rFonts w:ascii="宋体" w:hAnsi="宋体" w:eastAsia="宋体"/>
      </w:rPr>
    </w:pP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fldChar w:fldCharType="begin"/>
    </w:r>
    <w:r>
      <w:instrText xml:space="preserve"> NUMPAGES  \* MERGEFORMAT </w:instrText>
    </w:r>
    <w:r>
      <w:fldChar w:fldCharType="separate"/>
    </w:r>
    <w:r>
      <w:rPr>
        <w:rFonts w:ascii="宋体" w:hAnsi="宋体" w:eastAsia="宋体"/>
      </w:rPr>
      <w:instrText xml:space="preserve">114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112</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400E">
    <w:pPr>
      <w:pStyle w:val="16"/>
      <w:tabs>
        <w:tab w:val="clear" w:pos="4153"/>
        <w:tab w:val="clear" w:pos="8306"/>
      </w:tabs>
      <w:rPr>
        <w:rFonts w:ascii="宋体" w:hAnsi="宋体" w:eastAsia="宋体"/>
      </w:rPr>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55</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hint="eastAsia"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4D0DB">
    <w:pPr>
      <w:pStyle w:val="16"/>
      <w:tabs>
        <w:tab w:val="clear" w:pos="4153"/>
        <w:tab w:val="clear" w:pos="8306"/>
      </w:tabs>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21817">
                          <w:pPr>
                            <w:pStyle w:val="16"/>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r>
                            <w:rPr>
                              <w:rFonts w:hint="eastAsia"/>
                              <w:lang w:eastAsia="zh-CN"/>
                            </w:rPr>
                            <w:t xml:space="preserve"> 页 共</w:t>
                          </w:r>
                          <w:r>
                            <w:rPr>
                              <w:rFonts w:hint="eastAsia"/>
                              <w:lang w:val="en-US" w:eastAsia="zh-CN"/>
                            </w:rPr>
                            <w:t>70</w:t>
                          </w:r>
                          <w:r>
                            <w:rPr>
                              <w:rFonts w:hint="eastAsia"/>
                              <w:lang w:eastAsia="zh-CN"/>
                            </w:rPr>
                            <w:t>页</w:t>
                          </w:r>
                        </w:p>
                      </w:txbxContent>
                    </wps:txbx>
                    <wps:bodyPr vert="horz" wrap="none" lIns="0" tIns="0" rIns="0" bIns="0" anchor="t">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y6aDfRAQAApQMAAA4AAAAAAAAAAQAgAAAAHgEAAGRy&#10;cy9lMm9Eb2MueG1sUEsFBgAAAAAGAAYAWQEAAGEFAAAAAA==&#10;">
              <v:fill on="f" focussize="0,0"/>
              <v:stroke on="f"/>
              <v:imagedata o:title=""/>
              <o:lock v:ext="edit" aspectratio="f"/>
              <v:textbox inset="0mm,0mm,0mm,0mm" style="mso-fit-shape-to-text:t;">
                <w:txbxContent>
                  <w:p w14:paraId="58A21817">
                    <w:pPr>
                      <w:pStyle w:val="16"/>
                      <w:rPr>
                        <w:rFonts w:hint="eastAsia" w:eastAsia="华文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r>
                      <w:rPr>
                        <w:rFonts w:hint="eastAsia"/>
                        <w:lang w:eastAsia="zh-CN"/>
                      </w:rPr>
                      <w:t xml:space="preserve"> 页 共</w:t>
                    </w:r>
                    <w:r>
                      <w:rPr>
                        <w:rFonts w:hint="eastAsia"/>
                        <w:lang w:val="en-US" w:eastAsia="zh-CN"/>
                      </w:rPr>
                      <w:t>70</w:t>
                    </w:r>
                    <w:r>
                      <w:rPr>
                        <w:rFonts w:hint="eastAsia"/>
                        <w:lang w:eastAsia="zh-CN"/>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EC39">
    <w:pPr>
      <w:pStyle w:val="17"/>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陕西省信访局机关物业管理服务项目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E860">
    <w:pPr>
      <w:pStyle w:val="17"/>
      <w:rPr>
        <w:rFonts w:hint="eastAsia" w:eastAsia="宋体"/>
        <w:color w:val="FF000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陕西省信访局机关物业管理服务项目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2B850">
    <w:pPr>
      <w:pStyle w:val="17"/>
      <w:jc w:val="left"/>
      <w:rPr>
        <w:rFonts w:ascii="宋体" w:hAnsi="宋体" w:eastAsia="宋体" w:cs="宋体"/>
      </w:rPr>
    </w:pPr>
    <w:r>
      <w:rPr>
        <w:rFonts w:hint="eastAsia" w:ascii="宋体" w:hAnsi="宋体" w:eastAsia="宋体" w:cs="宋体"/>
      </w:rPr>
      <w:t>西安石油大学雁塔、鄠邑校区室内常年物业服务采购项目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A69B7">
    <w:pPr>
      <w:pStyle w:val="17"/>
      <w:jc w:val="right"/>
      <w:rPr>
        <w:rFonts w:ascii="宋体" w:hAnsi="宋体" w:eastAsia="宋体"/>
      </w:rPr>
    </w:pPr>
    <w:r>
      <w:rPr>
        <w:rFonts w:hint="eastAsia" w:ascii="宋体" w:hAnsi="宋体" w:eastAsia="宋体"/>
      </w:rPr>
      <w:t>bbb〈项目</w:t>
    </w:r>
    <w:r>
      <w:rPr>
        <w:rFonts w:ascii="宋体" w:hAnsi="宋体" w:eastAsia="宋体"/>
      </w:rPr>
      <w:t>名称</w:t>
    </w:r>
    <w:r>
      <w:rPr>
        <w:rFonts w:hint="eastAsia" w:ascii="宋体" w:hAnsi="宋体" w:eastAsia="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BC368"/>
    <w:multiLevelType w:val="singleLevel"/>
    <w:tmpl w:val="C50BC368"/>
    <w:lvl w:ilvl="0" w:tentative="0">
      <w:start w:val="6"/>
      <w:numFmt w:val="chineseCounting"/>
      <w:suff w:val="nothing"/>
      <w:lvlText w:val="%1、"/>
      <w:lvlJc w:val="left"/>
      <w:rPr>
        <w:rFonts w:hint="eastAsia"/>
      </w:rPr>
    </w:lvl>
  </w:abstractNum>
  <w:abstractNum w:abstractNumId="1">
    <w:nsid w:val="D48979FB"/>
    <w:multiLevelType w:val="singleLevel"/>
    <w:tmpl w:val="D48979FB"/>
    <w:lvl w:ilvl="0" w:tentative="0">
      <w:start w:val="3"/>
      <w:numFmt w:val="decimal"/>
      <w:lvlText w:val="%1."/>
      <w:lvlJc w:val="left"/>
      <w:pPr>
        <w:tabs>
          <w:tab w:val="left" w:pos="312"/>
        </w:tabs>
      </w:pPr>
    </w:lvl>
  </w:abstractNum>
  <w:abstractNum w:abstractNumId="2">
    <w:nsid w:val="E1AB83A0"/>
    <w:multiLevelType w:val="singleLevel"/>
    <w:tmpl w:val="E1AB83A0"/>
    <w:lvl w:ilvl="0" w:tentative="0">
      <w:start w:val="1"/>
      <w:numFmt w:val="decimal"/>
      <w:lvlText w:val="%1."/>
      <w:lvlJc w:val="left"/>
      <w:pPr>
        <w:tabs>
          <w:tab w:val="left" w:pos="312"/>
        </w:tabs>
      </w:pPr>
    </w:lvl>
  </w:abstractNum>
  <w:abstractNum w:abstractNumId="3">
    <w:nsid w:val="E695937C"/>
    <w:multiLevelType w:val="singleLevel"/>
    <w:tmpl w:val="E695937C"/>
    <w:lvl w:ilvl="0" w:tentative="0">
      <w:start w:val="2"/>
      <w:numFmt w:val="decimal"/>
      <w:suff w:val="nothing"/>
      <w:lvlText w:val="%1、"/>
      <w:lvlJc w:val="left"/>
    </w:lvl>
  </w:abstractNum>
  <w:abstractNum w:abstractNumId="4">
    <w:nsid w:val="F1859649"/>
    <w:multiLevelType w:val="singleLevel"/>
    <w:tmpl w:val="F1859649"/>
    <w:lvl w:ilvl="0" w:tentative="0">
      <w:start w:val="1"/>
      <w:numFmt w:val="decimal"/>
      <w:suff w:val="nothing"/>
      <w:lvlText w:val="%1、"/>
      <w:lvlJc w:val="left"/>
    </w:lvl>
  </w:abstractNum>
  <w:abstractNum w:abstractNumId="5">
    <w:nsid w:val="00000006"/>
    <w:multiLevelType w:val="singleLevel"/>
    <w:tmpl w:val="00000006"/>
    <w:lvl w:ilvl="0" w:tentative="0">
      <w:start w:val="3"/>
      <w:numFmt w:val="chineseCounting"/>
      <w:suff w:val="nothing"/>
      <w:lvlText w:val="%1、"/>
      <w:lvlJc w:val="left"/>
    </w:lvl>
  </w:abstractNum>
  <w:abstractNum w:abstractNumId="6">
    <w:nsid w:val="0053208E"/>
    <w:multiLevelType w:val="multilevel"/>
    <w:tmpl w:val="0053208E"/>
    <w:lvl w:ilvl="0" w:tentative="0">
      <w:start w:val="1"/>
      <w:numFmt w:val="chineseCounting"/>
      <w:suff w:val="nothing"/>
      <w:lvlText w:val="（%1）"/>
      <w:lvlJc w:val="left"/>
      <w:rPr>
        <w:rFonts w:hint="eastAsia"/>
      </w:rPr>
    </w:lvl>
    <w:lvl w:ilvl="1" w:tentative="0">
      <w:start w:val="0"/>
      <w:numFmt w:val="bullet"/>
      <w:lvlText w:val="•"/>
      <w:lvlJc w:val="left"/>
      <w:pPr>
        <w:ind w:left="2390" w:hanging="360"/>
      </w:pPr>
      <w:rPr>
        <w:rFonts w:hint="default"/>
        <w:lang w:val="zh-CN" w:eastAsia="zh-CN" w:bidi="zh-CN"/>
      </w:rPr>
    </w:lvl>
    <w:lvl w:ilvl="2" w:tentative="0">
      <w:start w:val="0"/>
      <w:numFmt w:val="bullet"/>
      <w:lvlText w:val="•"/>
      <w:lvlJc w:val="left"/>
      <w:pPr>
        <w:ind w:left="3241" w:hanging="360"/>
      </w:pPr>
      <w:rPr>
        <w:rFonts w:hint="default"/>
        <w:lang w:val="zh-CN" w:eastAsia="zh-CN" w:bidi="zh-CN"/>
      </w:rPr>
    </w:lvl>
    <w:lvl w:ilvl="3" w:tentative="0">
      <w:start w:val="0"/>
      <w:numFmt w:val="bullet"/>
      <w:lvlText w:val="•"/>
      <w:lvlJc w:val="left"/>
      <w:pPr>
        <w:ind w:left="4091" w:hanging="360"/>
      </w:pPr>
      <w:rPr>
        <w:rFonts w:hint="default"/>
        <w:lang w:val="zh-CN" w:eastAsia="zh-CN" w:bidi="zh-CN"/>
      </w:rPr>
    </w:lvl>
    <w:lvl w:ilvl="4" w:tentative="0">
      <w:start w:val="0"/>
      <w:numFmt w:val="bullet"/>
      <w:lvlText w:val="•"/>
      <w:lvlJc w:val="left"/>
      <w:pPr>
        <w:ind w:left="4942" w:hanging="360"/>
      </w:pPr>
      <w:rPr>
        <w:rFonts w:hint="default"/>
        <w:lang w:val="zh-CN" w:eastAsia="zh-CN" w:bidi="zh-CN"/>
      </w:rPr>
    </w:lvl>
    <w:lvl w:ilvl="5" w:tentative="0">
      <w:start w:val="0"/>
      <w:numFmt w:val="bullet"/>
      <w:lvlText w:val="•"/>
      <w:lvlJc w:val="left"/>
      <w:pPr>
        <w:ind w:left="5793" w:hanging="360"/>
      </w:pPr>
      <w:rPr>
        <w:rFonts w:hint="default"/>
        <w:lang w:val="zh-CN" w:eastAsia="zh-CN" w:bidi="zh-CN"/>
      </w:rPr>
    </w:lvl>
    <w:lvl w:ilvl="6" w:tentative="0">
      <w:start w:val="0"/>
      <w:numFmt w:val="bullet"/>
      <w:lvlText w:val="•"/>
      <w:lvlJc w:val="left"/>
      <w:pPr>
        <w:ind w:left="6643" w:hanging="360"/>
      </w:pPr>
      <w:rPr>
        <w:rFonts w:hint="default"/>
        <w:lang w:val="zh-CN" w:eastAsia="zh-CN" w:bidi="zh-CN"/>
      </w:rPr>
    </w:lvl>
    <w:lvl w:ilvl="7" w:tentative="0">
      <w:start w:val="0"/>
      <w:numFmt w:val="bullet"/>
      <w:lvlText w:val="•"/>
      <w:lvlJc w:val="left"/>
      <w:pPr>
        <w:ind w:left="7494" w:hanging="360"/>
      </w:pPr>
      <w:rPr>
        <w:rFonts w:hint="default"/>
        <w:lang w:val="zh-CN" w:eastAsia="zh-CN" w:bidi="zh-CN"/>
      </w:rPr>
    </w:lvl>
    <w:lvl w:ilvl="8" w:tentative="0">
      <w:start w:val="0"/>
      <w:numFmt w:val="bullet"/>
      <w:lvlText w:val="•"/>
      <w:lvlJc w:val="left"/>
      <w:pPr>
        <w:ind w:left="8344" w:hanging="360"/>
      </w:pPr>
      <w:rPr>
        <w:rFonts w:hint="default"/>
        <w:lang w:val="zh-CN" w:eastAsia="zh-CN" w:bidi="zh-CN"/>
      </w:rPr>
    </w:lvl>
  </w:abstractNum>
  <w:abstractNum w:abstractNumId="7">
    <w:nsid w:val="5CC125A1"/>
    <w:multiLevelType w:val="singleLevel"/>
    <w:tmpl w:val="5CC125A1"/>
    <w:lvl w:ilvl="0" w:tentative="0">
      <w:start w:val="2"/>
      <w:numFmt w:val="decimal"/>
      <w:suff w:val="nothing"/>
      <w:lvlText w:val="%1、"/>
      <w:lvlJc w:val="left"/>
    </w:lvl>
  </w:abstractNum>
  <w:abstractNum w:abstractNumId="8">
    <w:nsid w:val="79626A8D"/>
    <w:multiLevelType w:val="singleLevel"/>
    <w:tmpl w:val="79626A8D"/>
    <w:lvl w:ilvl="0" w:tentative="0">
      <w:start w:val="5"/>
      <w:numFmt w:val="decimal"/>
      <w:suff w:val="nothing"/>
      <w:lvlText w:val="%1、"/>
      <w:lvlJc w:val="left"/>
    </w:lvl>
  </w:abstractNum>
  <w:num w:numId="1">
    <w:abstractNumId w:val="3"/>
  </w:num>
  <w:num w:numId="2">
    <w:abstractNumId w:val="1"/>
  </w:num>
  <w:num w:numId="3">
    <w:abstractNumId w:val="8"/>
  </w:num>
  <w:num w:numId="4">
    <w:abstractNumId w:val="6"/>
  </w:num>
  <w:num w:numId="5">
    <w:abstractNumId w:val="7"/>
  </w:num>
  <w:num w:numId="6">
    <w:abstractNumId w:val="2"/>
  </w:num>
  <w:num w:numId="7">
    <w:abstractNumId w:val="5"/>
  </w:num>
  <w:num w:numId="8">
    <w:abstractNumId w:val="0"/>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敏莉">
    <w15:presenceInfo w15:providerId="WPS Office" w15:userId="3431021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HorizontalSpacing w:val="283"/>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3D3"/>
    <w:rsid w:val="000015E9"/>
    <w:rsid w:val="00010397"/>
    <w:rsid w:val="00020C6A"/>
    <w:rsid w:val="000A515B"/>
    <w:rsid w:val="000E4F88"/>
    <w:rsid w:val="00132234"/>
    <w:rsid w:val="00151BEC"/>
    <w:rsid w:val="00181635"/>
    <w:rsid w:val="001B76D9"/>
    <w:rsid w:val="00205C0B"/>
    <w:rsid w:val="002236FE"/>
    <w:rsid w:val="00242392"/>
    <w:rsid w:val="0029327C"/>
    <w:rsid w:val="002A4EF7"/>
    <w:rsid w:val="003044EA"/>
    <w:rsid w:val="00322F34"/>
    <w:rsid w:val="003733D3"/>
    <w:rsid w:val="003874C8"/>
    <w:rsid w:val="003F25D6"/>
    <w:rsid w:val="00402F2E"/>
    <w:rsid w:val="00412C07"/>
    <w:rsid w:val="00455500"/>
    <w:rsid w:val="00466D12"/>
    <w:rsid w:val="00486192"/>
    <w:rsid w:val="004960FA"/>
    <w:rsid w:val="004C3BFB"/>
    <w:rsid w:val="004F6180"/>
    <w:rsid w:val="00517359"/>
    <w:rsid w:val="00525D2F"/>
    <w:rsid w:val="00550CCB"/>
    <w:rsid w:val="0056187B"/>
    <w:rsid w:val="006263F8"/>
    <w:rsid w:val="00660B7D"/>
    <w:rsid w:val="00683E29"/>
    <w:rsid w:val="006912C2"/>
    <w:rsid w:val="006A545F"/>
    <w:rsid w:val="006F0231"/>
    <w:rsid w:val="00700B19"/>
    <w:rsid w:val="0070116B"/>
    <w:rsid w:val="00716CA4"/>
    <w:rsid w:val="00742FC4"/>
    <w:rsid w:val="007C1E2C"/>
    <w:rsid w:val="007E0F77"/>
    <w:rsid w:val="008469EB"/>
    <w:rsid w:val="0089438C"/>
    <w:rsid w:val="008A411B"/>
    <w:rsid w:val="0090280D"/>
    <w:rsid w:val="00935384"/>
    <w:rsid w:val="00974C22"/>
    <w:rsid w:val="00A222C7"/>
    <w:rsid w:val="00A521A8"/>
    <w:rsid w:val="00A77A89"/>
    <w:rsid w:val="00A949A4"/>
    <w:rsid w:val="00AC3552"/>
    <w:rsid w:val="00AF796A"/>
    <w:rsid w:val="00B26471"/>
    <w:rsid w:val="00B30DBF"/>
    <w:rsid w:val="00B43435"/>
    <w:rsid w:val="00B4629C"/>
    <w:rsid w:val="00B47056"/>
    <w:rsid w:val="00B84020"/>
    <w:rsid w:val="00BB0BD9"/>
    <w:rsid w:val="00BB4AE8"/>
    <w:rsid w:val="00C72491"/>
    <w:rsid w:val="00C84FE9"/>
    <w:rsid w:val="00C933C5"/>
    <w:rsid w:val="00CA214F"/>
    <w:rsid w:val="00CB4D7C"/>
    <w:rsid w:val="00D972A1"/>
    <w:rsid w:val="00DB046C"/>
    <w:rsid w:val="00E05C22"/>
    <w:rsid w:val="00E473FE"/>
    <w:rsid w:val="00E77D53"/>
    <w:rsid w:val="00EF7226"/>
    <w:rsid w:val="00F32311"/>
    <w:rsid w:val="00F80235"/>
    <w:rsid w:val="00FC4E8F"/>
    <w:rsid w:val="00FF2DB6"/>
    <w:rsid w:val="013A4BF2"/>
    <w:rsid w:val="01711782"/>
    <w:rsid w:val="018218A4"/>
    <w:rsid w:val="01A057F8"/>
    <w:rsid w:val="01C419A4"/>
    <w:rsid w:val="01C809BB"/>
    <w:rsid w:val="01CA6A18"/>
    <w:rsid w:val="01E718AA"/>
    <w:rsid w:val="01FD4EAF"/>
    <w:rsid w:val="024C0602"/>
    <w:rsid w:val="025001F7"/>
    <w:rsid w:val="02695A21"/>
    <w:rsid w:val="028A115D"/>
    <w:rsid w:val="02B21AC4"/>
    <w:rsid w:val="02ED0CB5"/>
    <w:rsid w:val="035C5B9F"/>
    <w:rsid w:val="03AE117E"/>
    <w:rsid w:val="03BD5097"/>
    <w:rsid w:val="03FC6CF1"/>
    <w:rsid w:val="03FD02CC"/>
    <w:rsid w:val="041038B6"/>
    <w:rsid w:val="043812DD"/>
    <w:rsid w:val="047E4A50"/>
    <w:rsid w:val="048C4823"/>
    <w:rsid w:val="04E231EC"/>
    <w:rsid w:val="05337D05"/>
    <w:rsid w:val="055E329B"/>
    <w:rsid w:val="05975EE4"/>
    <w:rsid w:val="05A23E12"/>
    <w:rsid w:val="05C91E66"/>
    <w:rsid w:val="05CA7E9A"/>
    <w:rsid w:val="05CD786F"/>
    <w:rsid w:val="05FC3D67"/>
    <w:rsid w:val="05FD5AF6"/>
    <w:rsid w:val="061C0CEA"/>
    <w:rsid w:val="06257756"/>
    <w:rsid w:val="06375AD8"/>
    <w:rsid w:val="065A24C9"/>
    <w:rsid w:val="068336E6"/>
    <w:rsid w:val="06864D08"/>
    <w:rsid w:val="06910260"/>
    <w:rsid w:val="06A8726C"/>
    <w:rsid w:val="06C902A0"/>
    <w:rsid w:val="07174B9D"/>
    <w:rsid w:val="07281C48"/>
    <w:rsid w:val="0729578F"/>
    <w:rsid w:val="075C770B"/>
    <w:rsid w:val="077272F1"/>
    <w:rsid w:val="07836A90"/>
    <w:rsid w:val="07B21088"/>
    <w:rsid w:val="07DB19CB"/>
    <w:rsid w:val="07E56F33"/>
    <w:rsid w:val="07FF59C0"/>
    <w:rsid w:val="080301AD"/>
    <w:rsid w:val="08051910"/>
    <w:rsid w:val="081566D4"/>
    <w:rsid w:val="081578FD"/>
    <w:rsid w:val="08164FCE"/>
    <w:rsid w:val="08581720"/>
    <w:rsid w:val="08667A48"/>
    <w:rsid w:val="08670478"/>
    <w:rsid w:val="08B25D4B"/>
    <w:rsid w:val="08D025CA"/>
    <w:rsid w:val="08D248EC"/>
    <w:rsid w:val="08EE1822"/>
    <w:rsid w:val="09432ED0"/>
    <w:rsid w:val="095F1D8B"/>
    <w:rsid w:val="09813826"/>
    <w:rsid w:val="098B62C0"/>
    <w:rsid w:val="099E5F8B"/>
    <w:rsid w:val="09EB63CD"/>
    <w:rsid w:val="0A0650BA"/>
    <w:rsid w:val="0A2059CE"/>
    <w:rsid w:val="0A604ADF"/>
    <w:rsid w:val="0A814CDC"/>
    <w:rsid w:val="0A882B2A"/>
    <w:rsid w:val="0AAA6B7F"/>
    <w:rsid w:val="0ABA1A31"/>
    <w:rsid w:val="0B174E9E"/>
    <w:rsid w:val="0B291BC7"/>
    <w:rsid w:val="0B3327E1"/>
    <w:rsid w:val="0B472ABD"/>
    <w:rsid w:val="0B6A13B7"/>
    <w:rsid w:val="0B7D04D2"/>
    <w:rsid w:val="0B8256FC"/>
    <w:rsid w:val="0B9C43CF"/>
    <w:rsid w:val="0BA613EC"/>
    <w:rsid w:val="0BB40C28"/>
    <w:rsid w:val="0BC511B6"/>
    <w:rsid w:val="0C276BBF"/>
    <w:rsid w:val="0C494D00"/>
    <w:rsid w:val="0C5C520B"/>
    <w:rsid w:val="0C6B6FE6"/>
    <w:rsid w:val="0C967785"/>
    <w:rsid w:val="0CB26664"/>
    <w:rsid w:val="0CCB31E3"/>
    <w:rsid w:val="0CEC51FC"/>
    <w:rsid w:val="0CEE2E17"/>
    <w:rsid w:val="0CF57C70"/>
    <w:rsid w:val="0D4E4874"/>
    <w:rsid w:val="0D5B4516"/>
    <w:rsid w:val="0D65321D"/>
    <w:rsid w:val="0D804EFF"/>
    <w:rsid w:val="0D9D684F"/>
    <w:rsid w:val="0DA86354"/>
    <w:rsid w:val="0DBF2DDC"/>
    <w:rsid w:val="0DC13841"/>
    <w:rsid w:val="0DD54FC8"/>
    <w:rsid w:val="0DDE5AA5"/>
    <w:rsid w:val="0DE85340"/>
    <w:rsid w:val="0DFF5C46"/>
    <w:rsid w:val="0DFF7E47"/>
    <w:rsid w:val="0E0308FA"/>
    <w:rsid w:val="0E0A411F"/>
    <w:rsid w:val="0E1925FE"/>
    <w:rsid w:val="0E330515"/>
    <w:rsid w:val="0E5453D5"/>
    <w:rsid w:val="0EBC4B1E"/>
    <w:rsid w:val="0EBC4CF4"/>
    <w:rsid w:val="0ED823C5"/>
    <w:rsid w:val="0EFD40D7"/>
    <w:rsid w:val="0F6E2287"/>
    <w:rsid w:val="0FA7500E"/>
    <w:rsid w:val="0FC31A7A"/>
    <w:rsid w:val="0FCB7AE1"/>
    <w:rsid w:val="0FD72A11"/>
    <w:rsid w:val="0FE92666"/>
    <w:rsid w:val="10192B54"/>
    <w:rsid w:val="10272363"/>
    <w:rsid w:val="103E0E03"/>
    <w:rsid w:val="10702FBC"/>
    <w:rsid w:val="108E4BCB"/>
    <w:rsid w:val="10971607"/>
    <w:rsid w:val="10D7425D"/>
    <w:rsid w:val="10DA6997"/>
    <w:rsid w:val="10EA604D"/>
    <w:rsid w:val="10FE1DD1"/>
    <w:rsid w:val="11015FEE"/>
    <w:rsid w:val="11240CA0"/>
    <w:rsid w:val="11273E2A"/>
    <w:rsid w:val="113E419F"/>
    <w:rsid w:val="11440B90"/>
    <w:rsid w:val="11596D7F"/>
    <w:rsid w:val="115D1B8E"/>
    <w:rsid w:val="1171474D"/>
    <w:rsid w:val="11777D6B"/>
    <w:rsid w:val="11C71AC5"/>
    <w:rsid w:val="11D27CA4"/>
    <w:rsid w:val="11FC402C"/>
    <w:rsid w:val="12271C9F"/>
    <w:rsid w:val="1244150F"/>
    <w:rsid w:val="1254769B"/>
    <w:rsid w:val="12575851"/>
    <w:rsid w:val="126F191E"/>
    <w:rsid w:val="12706FEC"/>
    <w:rsid w:val="127308CA"/>
    <w:rsid w:val="128672B1"/>
    <w:rsid w:val="129F29BF"/>
    <w:rsid w:val="13052DFD"/>
    <w:rsid w:val="133C3AD2"/>
    <w:rsid w:val="13490E5B"/>
    <w:rsid w:val="13A15150"/>
    <w:rsid w:val="13AB5BE1"/>
    <w:rsid w:val="13B12DEB"/>
    <w:rsid w:val="13B20B09"/>
    <w:rsid w:val="13BF6033"/>
    <w:rsid w:val="13F82B49"/>
    <w:rsid w:val="140417EA"/>
    <w:rsid w:val="141D3040"/>
    <w:rsid w:val="142A46B8"/>
    <w:rsid w:val="14671120"/>
    <w:rsid w:val="147E4D14"/>
    <w:rsid w:val="14A53911"/>
    <w:rsid w:val="14AF1488"/>
    <w:rsid w:val="14EA1C6A"/>
    <w:rsid w:val="1503199D"/>
    <w:rsid w:val="15132D38"/>
    <w:rsid w:val="151E6764"/>
    <w:rsid w:val="1587766A"/>
    <w:rsid w:val="15984E09"/>
    <w:rsid w:val="159E617F"/>
    <w:rsid w:val="15A90334"/>
    <w:rsid w:val="15A97945"/>
    <w:rsid w:val="15F2736F"/>
    <w:rsid w:val="15F71F66"/>
    <w:rsid w:val="161011F1"/>
    <w:rsid w:val="1613007A"/>
    <w:rsid w:val="161E6A30"/>
    <w:rsid w:val="16332BCD"/>
    <w:rsid w:val="163F613D"/>
    <w:rsid w:val="164D6A38"/>
    <w:rsid w:val="16722097"/>
    <w:rsid w:val="167F3E4C"/>
    <w:rsid w:val="169C0D4D"/>
    <w:rsid w:val="16C3613A"/>
    <w:rsid w:val="16C86D6E"/>
    <w:rsid w:val="16C87B06"/>
    <w:rsid w:val="16D9609B"/>
    <w:rsid w:val="16F4664A"/>
    <w:rsid w:val="173005FD"/>
    <w:rsid w:val="17331F2B"/>
    <w:rsid w:val="174A47E5"/>
    <w:rsid w:val="175D7C84"/>
    <w:rsid w:val="177846E9"/>
    <w:rsid w:val="17A13473"/>
    <w:rsid w:val="17B67E21"/>
    <w:rsid w:val="17BE54D4"/>
    <w:rsid w:val="17D11251"/>
    <w:rsid w:val="17E24C4E"/>
    <w:rsid w:val="184500D8"/>
    <w:rsid w:val="185A1DE5"/>
    <w:rsid w:val="18802524"/>
    <w:rsid w:val="1886643A"/>
    <w:rsid w:val="18904413"/>
    <w:rsid w:val="189640E9"/>
    <w:rsid w:val="189E10CA"/>
    <w:rsid w:val="18A00023"/>
    <w:rsid w:val="18A311E5"/>
    <w:rsid w:val="18B7368F"/>
    <w:rsid w:val="18DA64C5"/>
    <w:rsid w:val="18EE11EA"/>
    <w:rsid w:val="19192AE7"/>
    <w:rsid w:val="19511D9A"/>
    <w:rsid w:val="195B3F5D"/>
    <w:rsid w:val="19737C1A"/>
    <w:rsid w:val="197E445E"/>
    <w:rsid w:val="199B6731"/>
    <w:rsid w:val="19C60223"/>
    <w:rsid w:val="19F53273"/>
    <w:rsid w:val="1A5040BE"/>
    <w:rsid w:val="1A7A2A64"/>
    <w:rsid w:val="1A823AEE"/>
    <w:rsid w:val="1AC55B36"/>
    <w:rsid w:val="1ACB4461"/>
    <w:rsid w:val="1B0309F6"/>
    <w:rsid w:val="1B163D41"/>
    <w:rsid w:val="1B1B4F00"/>
    <w:rsid w:val="1B2E16CE"/>
    <w:rsid w:val="1B737CEB"/>
    <w:rsid w:val="1B7A6E80"/>
    <w:rsid w:val="1B7D5C90"/>
    <w:rsid w:val="1B7E432F"/>
    <w:rsid w:val="1BB97E1C"/>
    <w:rsid w:val="1BBA6F4E"/>
    <w:rsid w:val="1BCE1A87"/>
    <w:rsid w:val="1C041ABB"/>
    <w:rsid w:val="1C214B3B"/>
    <w:rsid w:val="1C452EC9"/>
    <w:rsid w:val="1C512559"/>
    <w:rsid w:val="1C535DC2"/>
    <w:rsid w:val="1C5B2BF6"/>
    <w:rsid w:val="1C5C090B"/>
    <w:rsid w:val="1C6A2B24"/>
    <w:rsid w:val="1C751D12"/>
    <w:rsid w:val="1C9A53BD"/>
    <w:rsid w:val="1C9C5FFC"/>
    <w:rsid w:val="1CA42A42"/>
    <w:rsid w:val="1CDC56F7"/>
    <w:rsid w:val="1CDE5C59"/>
    <w:rsid w:val="1D0331CD"/>
    <w:rsid w:val="1D1B1455"/>
    <w:rsid w:val="1D4A3D6D"/>
    <w:rsid w:val="1D4C7BAF"/>
    <w:rsid w:val="1D7C07C1"/>
    <w:rsid w:val="1E060C9B"/>
    <w:rsid w:val="1E652915"/>
    <w:rsid w:val="1E6E1BBD"/>
    <w:rsid w:val="1E844DD9"/>
    <w:rsid w:val="1F9143BE"/>
    <w:rsid w:val="1FE93A82"/>
    <w:rsid w:val="1FF82720"/>
    <w:rsid w:val="20001820"/>
    <w:rsid w:val="201F53FE"/>
    <w:rsid w:val="20276DFD"/>
    <w:rsid w:val="20592CBC"/>
    <w:rsid w:val="20772D3A"/>
    <w:rsid w:val="2083153C"/>
    <w:rsid w:val="20962CB9"/>
    <w:rsid w:val="20C2664F"/>
    <w:rsid w:val="20D17540"/>
    <w:rsid w:val="20DF1737"/>
    <w:rsid w:val="210C17F7"/>
    <w:rsid w:val="212B3D81"/>
    <w:rsid w:val="212C6804"/>
    <w:rsid w:val="212D03CE"/>
    <w:rsid w:val="212F3408"/>
    <w:rsid w:val="215F515E"/>
    <w:rsid w:val="216B2168"/>
    <w:rsid w:val="21AD50A9"/>
    <w:rsid w:val="21AD57C1"/>
    <w:rsid w:val="21BF7EB6"/>
    <w:rsid w:val="21CC1F50"/>
    <w:rsid w:val="220A443A"/>
    <w:rsid w:val="223A733C"/>
    <w:rsid w:val="22582DB7"/>
    <w:rsid w:val="229D43F0"/>
    <w:rsid w:val="22B92B88"/>
    <w:rsid w:val="22D0581D"/>
    <w:rsid w:val="22F85BEB"/>
    <w:rsid w:val="230C31C5"/>
    <w:rsid w:val="234E225A"/>
    <w:rsid w:val="236D269B"/>
    <w:rsid w:val="23881A78"/>
    <w:rsid w:val="238B54A6"/>
    <w:rsid w:val="23923E6F"/>
    <w:rsid w:val="23D276EF"/>
    <w:rsid w:val="23E15550"/>
    <w:rsid w:val="23F55DD4"/>
    <w:rsid w:val="244B444B"/>
    <w:rsid w:val="245702AF"/>
    <w:rsid w:val="2493656C"/>
    <w:rsid w:val="249847D2"/>
    <w:rsid w:val="24C77FBE"/>
    <w:rsid w:val="250D4CCA"/>
    <w:rsid w:val="250E399E"/>
    <w:rsid w:val="2515686B"/>
    <w:rsid w:val="2516352F"/>
    <w:rsid w:val="253D2662"/>
    <w:rsid w:val="25875216"/>
    <w:rsid w:val="25AC0DC0"/>
    <w:rsid w:val="25B001FC"/>
    <w:rsid w:val="25B81194"/>
    <w:rsid w:val="25F543B3"/>
    <w:rsid w:val="260310C2"/>
    <w:rsid w:val="260513DD"/>
    <w:rsid w:val="26091B0E"/>
    <w:rsid w:val="26685B33"/>
    <w:rsid w:val="26A620B8"/>
    <w:rsid w:val="26BD529F"/>
    <w:rsid w:val="26C6369E"/>
    <w:rsid w:val="26C738E6"/>
    <w:rsid w:val="26E42E9B"/>
    <w:rsid w:val="272B78E2"/>
    <w:rsid w:val="27795A97"/>
    <w:rsid w:val="27954D29"/>
    <w:rsid w:val="27BD0126"/>
    <w:rsid w:val="27C63036"/>
    <w:rsid w:val="281102E0"/>
    <w:rsid w:val="281A5D26"/>
    <w:rsid w:val="283B4F06"/>
    <w:rsid w:val="286D2553"/>
    <w:rsid w:val="286D4AD2"/>
    <w:rsid w:val="28B41F7A"/>
    <w:rsid w:val="28BD4EF4"/>
    <w:rsid w:val="28D87C69"/>
    <w:rsid w:val="28F052B4"/>
    <w:rsid w:val="29166DC5"/>
    <w:rsid w:val="29330171"/>
    <w:rsid w:val="29335353"/>
    <w:rsid w:val="293D6CC8"/>
    <w:rsid w:val="29441212"/>
    <w:rsid w:val="294D4342"/>
    <w:rsid w:val="295B63CE"/>
    <w:rsid w:val="2986329B"/>
    <w:rsid w:val="298D1DEF"/>
    <w:rsid w:val="29983CCA"/>
    <w:rsid w:val="299D3CC2"/>
    <w:rsid w:val="29B644DD"/>
    <w:rsid w:val="29BE146F"/>
    <w:rsid w:val="29D83723"/>
    <w:rsid w:val="29E41C4D"/>
    <w:rsid w:val="29E86FDB"/>
    <w:rsid w:val="2A155334"/>
    <w:rsid w:val="2A3B5796"/>
    <w:rsid w:val="2A4C5AC5"/>
    <w:rsid w:val="2A686834"/>
    <w:rsid w:val="2A7C06E4"/>
    <w:rsid w:val="2AD044D2"/>
    <w:rsid w:val="2ADA28F0"/>
    <w:rsid w:val="2AFD5C0F"/>
    <w:rsid w:val="2B152E78"/>
    <w:rsid w:val="2B357C84"/>
    <w:rsid w:val="2B411E56"/>
    <w:rsid w:val="2BB279CA"/>
    <w:rsid w:val="2BBE094C"/>
    <w:rsid w:val="2BD40702"/>
    <w:rsid w:val="2BE960A7"/>
    <w:rsid w:val="2BEF0E61"/>
    <w:rsid w:val="2C2460A5"/>
    <w:rsid w:val="2C254256"/>
    <w:rsid w:val="2C7606BE"/>
    <w:rsid w:val="2C794ED2"/>
    <w:rsid w:val="2C834B1C"/>
    <w:rsid w:val="2C8A076B"/>
    <w:rsid w:val="2CD9000B"/>
    <w:rsid w:val="2CD90624"/>
    <w:rsid w:val="2D1F7D40"/>
    <w:rsid w:val="2D4B2D47"/>
    <w:rsid w:val="2D4D5B40"/>
    <w:rsid w:val="2D4F6326"/>
    <w:rsid w:val="2D984220"/>
    <w:rsid w:val="2DA4190F"/>
    <w:rsid w:val="2DAE45FF"/>
    <w:rsid w:val="2DB13959"/>
    <w:rsid w:val="2DB969AC"/>
    <w:rsid w:val="2DCD2052"/>
    <w:rsid w:val="2DD423A0"/>
    <w:rsid w:val="2DFB1168"/>
    <w:rsid w:val="2DFD5822"/>
    <w:rsid w:val="2E243043"/>
    <w:rsid w:val="2E400088"/>
    <w:rsid w:val="2EB8349A"/>
    <w:rsid w:val="2EBF2C6C"/>
    <w:rsid w:val="2EC23625"/>
    <w:rsid w:val="2ED736A6"/>
    <w:rsid w:val="2EDF54E3"/>
    <w:rsid w:val="2EE54C38"/>
    <w:rsid w:val="2F026CE3"/>
    <w:rsid w:val="2F0A4BAE"/>
    <w:rsid w:val="2F1572B8"/>
    <w:rsid w:val="2F2A5C08"/>
    <w:rsid w:val="2F387A25"/>
    <w:rsid w:val="2F5E064D"/>
    <w:rsid w:val="2F64717C"/>
    <w:rsid w:val="2F656B5D"/>
    <w:rsid w:val="2F6D3820"/>
    <w:rsid w:val="2F701ED2"/>
    <w:rsid w:val="2F7615E1"/>
    <w:rsid w:val="2F875579"/>
    <w:rsid w:val="2FD433B5"/>
    <w:rsid w:val="2FD45805"/>
    <w:rsid w:val="2FE94B2C"/>
    <w:rsid w:val="30044FB7"/>
    <w:rsid w:val="300E1390"/>
    <w:rsid w:val="3026787D"/>
    <w:rsid w:val="307F0A3C"/>
    <w:rsid w:val="308B28D4"/>
    <w:rsid w:val="30A30275"/>
    <w:rsid w:val="30C93A0B"/>
    <w:rsid w:val="30D47F92"/>
    <w:rsid w:val="30D624BF"/>
    <w:rsid w:val="30DD53AC"/>
    <w:rsid w:val="3195481E"/>
    <w:rsid w:val="31B9717D"/>
    <w:rsid w:val="31C4687B"/>
    <w:rsid w:val="31C807B9"/>
    <w:rsid w:val="31DF3964"/>
    <w:rsid w:val="31FE1EEB"/>
    <w:rsid w:val="32194D38"/>
    <w:rsid w:val="32292DA1"/>
    <w:rsid w:val="32534D86"/>
    <w:rsid w:val="328B14EF"/>
    <w:rsid w:val="32943BA5"/>
    <w:rsid w:val="32B43F77"/>
    <w:rsid w:val="32E56101"/>
    <w:rsid w:val="32F736C5"/>
    <w:rsid w:val="32FF10AD"/>
    <w:rsid w:val="331C0C69"/>
    <w:rsid w:val="331E1E4A"/>
    <w:rsid w:val="33203BAA"/>
    <w:rsid w:val="332E011C"/>
    <w:rsid w:val="3346695F"/>
    <w:rsid w:val="33673827"/>
    <w:rsid w:val="3376303F"/>
    <w:rsid w:val="337D7C03"/>
    <w:rsid w:val="33F7573B"/>
    <w:rsid w:val="34150310"/>
    <w:rsid w:val="341A591D"/>
    <w:rsid w:val="342055CF"/>
    <w:rsid w:val="34307457"/>
    <w:rsid w:val="3432222D"/>
    <w:rsid w:val="345C7A22"/>
    <w:rsid w:val="349E285C"/>
    <w:rsid w:val="34A82DEB"/>
    <w:rsid w:val="34AC1ECE"/>
    <w:rsid w:val="34D13509"/>
    <w:rsid w:val="34EF202C"/>
    <w:rsid w:val="34F44C90"/>
    <w:rsid w:val="352A6255"/>
    <w:rsid w:val="353A6118"/>
    <w:rsid w:val="35632DAB"/>
    <w:rsid w:val="359B2184"/>
    <w:rsid w:val="35A60A42"/>
    <w:rsid w:val="35D6618E"/>
    <w:rsid w:val="35D70BC3"/>
    <w:rsid w:val="36134960"/>
    <w:rsid w:val="3614318A"/>
    <w:rsid w:val="365A4D9F"/>
    <w:rsid w:val="36D604AD"/>
    <w:rsid w:val="36EA118E"/>
    <w:rsid w:val="36EB6D88"/>
    <w:rsid w:val="36F07299"/>
    <w:rsid w:val="3704535B"/>
    <w:rsid w:val="37310D32"/>
    <w:rsid w:val="373F0F59"/>
    <w:rsid w:val="37494AF1"/>
    <w:rsid w:val="376D4183"/>
    <w:rsid w:val="377F5C0B"/>
    <w:rsid w:val="3782403C"/>
    <w:rsid w:val="37B53F93"/>
    <w:rsid w:val="37DF6208"/>
    <w:rsid w:val="380C785E"/>
    <w:rsid w:val="381410BD"/>
    <w:rsid w:val="383D57C8"/>
    <w:rsid w:val="38637125"/>
    <w:rsid w:val="38782FC3"/>
    <w:rsid w:val="3892123A"/>
    <w:rsid w:val="390F10CB"/>
    <w:rsid w:val="395450B0"/>
    <w:rsid w:val="3979516F"/>
    <w:rsid w:val="39891DF6"/>
    <w:rsid w:val="39B21850"/>
    <w:rsid w:val="39E229C1"/>
    <w:rsid w:val="39EF6540"/>
    <w:rsid w:val="3A1E142C"/>
    <w:rsid w:val="3A3263E4"/>
    <w:rsid w:val="3A5F2A26"/>
    <w:rsid w:val="3A79657C"/>
    <w:rsid w:val="3A823B4C"/>
    <w:rsid w:val="3A833763"/>
    <w:rsid w:val="3AAE5877"/>
    <w:rsid w:val="3AD1456B"/>
    <w:rsid w:val="3ADD0E00"/>
    <w:rsid w:val="3AFF512B"/>
    <w:rsid w:val="3B090676"/>
    <w:rsid w:val="3B3E1BCF"/>
    <w:rsid w:val="3B415613"/>
    <w:rsid w:val="3B505D1C"/>
    <w:rsid w:val="3B675739"/>
    <w:rsid w:val="3B720AAC"/>
    <w:rsid w:val="3B73130F"/>
    <w:rsid w:val="3B9D0793"/>
    <w:rsid w:val="3BCE1D3B"/>
    <w:rsid w:val="3BF41B76"/>
    <w:rsid w:val="3C0843CD"/>
    <w:rsid w:val="3C1E03FE"/>
    <w:rsid w:val="3C3E10E1"/>
    <w:rsid w:val="3C467AD2"/>
    <w:rsid w:val="3C9906FB"/>
    <w:rsid w:val="3C9F1331"/>
    <w:rsid w:val="3CEC5150"/>
    <w:rsid w:val="3D0501FE"/>
    <w:rsid w:val="3D334A82"/>
    <w:rsid w:val="3D3C7ADF"/>
    <w:rsid w:val="3D3E26BB"/>
    <w:rsid w:val="3D475C1D"/>
    <w:rsid w:val="3D5F1B51"/>
    <w:rsid w:val="3D6812FF"/>
    <w:rsid w:val="3D990DB8"/>
    <w:rsid w:val="3D9A3E3F"/>
    <w:rsid w:val="3DA64568"/>
    <w:rsid w:val="3DBA6431"/>
    <w:rsid w:val="3DF04860"/>
    <w:rsid w:val="3DF82C60"/>
    <w:rsid w:val="3E015723"/>
    <w:rsid w:val="3E1A50A3"/>
    <w:rsid w:val="3E3C0DB0"/>
    <w:rsid w:val="3E524F8E"/>
    <w:rsid w:val="3E6C3EE8"/>
    <w:rsid w:val="3E725372"/>
    <w:rsid w:val="3E8D4137"/>
    <w:rsid w:val="3E941FCC"/>
    <w:rsid w:val="3E95071B"/>
    <w:rsid w:val="3ECD465A"/>
    <w:rsid w:val="3EF06B3F"/>
    <w:rsid w:val="3F035F67"/>
    <w:rsid w:val="3F073968"/>
    <w:rsid w:val="3F4B4D62"/>
    <w:rsid w:val="3F5F6ACA"/>
    <w:rsid w:val="3F7F2557"/>
    <w:rsid w:val="3F8112F1"/>
    <w:rsid w:val="3F8B6DB1"/>
    <w:rsid w:val="3F9367FF"/>
    <w:rsid w:val="3FAB2A4E"/>
    <w:rsid w:val="3FB22C15"/>
    <w:rsid w:val="3FB94F73"/>
    <w:rsid w:val="3FCC5DE0"/>
    <w:rsid w:val="3FD52033"/>
    <w:rsid w:val="3FE62EDB"/>
    <w:rsid w:val="3FF06335"/>
    <w:rsid w:val="40082EB7"/>
    <w:rsid w:val="400B4525"/>
    <w:rsid w:val="402B7F1F"/>
    <w:rsid w:val="403265A7"/>
    <w:rsid w:val="404F4FF9"/>
    <w:rsid w:val="409067D3"/>
    <w:rsid w:val="40E77B27"/>
    <w:rsid w:val="40F11107"/>
    <w:rsid w:val="41642DB4"/>
    <w:rsid w:val="41724DC9"/>
    <w:rsid w:val="41C826FB"/>
    <w:rsid w:val="41CC62BD"/>
    <w:rsid w:val="41D403DB"/>
    <w:rsid w:val="41F12AD4"/>
    <w:rsid w:val="423958A5"/>
    <w:rsid w:val="42787319"/>
    <w:rsid w:val="42A104CF"/>
    <w:rsid w:val="42B17586"/>
    <w:rsid w:val="42DE4919"/>
    <w:rsid w:val="42DF18C8"/>
    <w:rsid w:val="42EB50BF"/>
    <w:rsid w:val="43161A86"/>
    <w:rsid w:val="432A2FBF"/>
    <w:rsid w:val="434A713C"/>
    <w:rsid w:val="43645DC1"/>
    <w:rsid w:val="43810970"/>
    <w:rsid w:val="43AE1D0A"/>
    <w:rsid w:val="43B6046E"/>
    <w:rsid w:val="43DB6805"/>
    <w:rsid w:val="44111604"/>
    <w:rsid w:val="441E067A"/>
    <w:rsid w:val="4421761D"/>
    <w:rsid w:val="442B32FB"/>
    <w:rsid w:val="447871A0"/>
    <w:rsid w:val="44A46CB6"/>
    <w:rsid w:val="44B33A29"/>
    <w:rsid w:val="44D73A7D"/>
    <w:rsid w:val="44DE06DD"/>
    <w:rsid w:val="44F6352F"/>
    <w:rsid w:val="450B7D70"/>
    <w:rsid w:val="451E4130"/>
    <w:rsid w:val="45204392"/>
    <w:rsid w:val="45276D82"/>
    <w:rsid w:val="452D5C18"/>
    <w:rsid w:val="453D1FF5"/>
    <w:rsid w:val="453D29A2"/>
    <w:rsid w:val="453D5329"/>
    <w:rsid w:val="4541738F"/>
    <w:rsid w:val="459939D1"/>
    <w:rsid w:val="45CB1245"/>
    <w:rsid w:val="461509F9"/>
    <w:rsid w:val="463D6767"/>
    <w:rsid w:val="464072C9"/>
    <w:rsid w:val="46472860"/>
    <w:rsid w:val="465C63C2"/>
    <w:rsid w:val="465F4AC3"/>
    <w:rsid w:val="46686956"/>
    <w:rsid w:val="46714CCC"/>
    <w:rsid w:val="468E65A1"/>
    <w:rsid w:val="469B5992"/>
    <w:rsid w:val="46D12ADD"/>
    <w:rsid w:val="46D4642D"/>
    <w:rsid w:val="46D83708"/>
    <w:rsid w:val="473B563D"/>
    <w:rsid w:val="47686719"/>
    <w:rsid w:val="47773FF6"/>
    <w:rsid w:val="477A0A48"/>
    <w:rsid w:val="477A74BD"/>
    <w:rsid w:val="479D04A0"/>
    <w:rsid w:val="47B5084F"/>
    <w:rsid w:val="47D73B7A"/>
    <w:rsid w:val="47E14AAB"/>
    <w:rsid w:val="47EF724B"/>
    <w:rsid w:val="4822605B"/>
    <w:rsid w:val="48233C25"/>
    <w:rsid w:val="482665A4"/>
    <w:rsid w:val="4838545B"/>
    <w:rsid w:val="48413B48"/>
    <w:rsid w:val="48420215"/>
    <w:rsid w:val="48476F13"/>
    <w:rsid w:val="4858763B"/>
    <w:rsid w:val="4867690E"/>
    <w:rsid w:val="48B82645"/>
    <w:rsid w:val="48DF13F8"/>
    <w:rsid w:val="48F348B7"/>
    <w:rsid w:val="490153E1"/>
    <w:rsid w:val="49522A05"/>
    <w:rsid w:val="497B791C"/>
    <w:rsid w:val="49980EDD"/>
    <w:rsid w:val="49A11195"/>
    <w:rsid w:val="49A31507"/>
    <w:rsid w:val="49B06A7B"/>
    <w:rsid w:val="49B25D27"/>
    <w:rsid w:val="4A3A478F"/>
    <w:rsid w:val="4A551470"/>
    <w:rsid w:val="4A5902F9"/>
    <w:rsid w:val="4A8C448D"/>
    <w:rsid w:val="4A977403"/>
    <w:rsid w:val="4AAE3FCC"/>
    <w:rsid w:val="4AAF5AC2"/>
    <w:rsid w:val="4ADF2B28"/>
    <w:rsid w:val="4AFA65F4"/>
    <w:rsid w:val="4B231123"/>
    <w:rsid w:val="4B686CCB"/>
    <w:rsid w:val="4B7031B5"/>
    <w:rsid w:val="4BBB6F0C"/>
    <w:rsid w:val="4BBD50B4"/>
    <w:rsid w:val="4BCE7FEF"/>
    <w:rsid w:val="4BD863F1"/>
    <w:rsid w:val="4BDD36EE"/>
    <w:rsid w:val="4C0D3C8B"/>
    <w:rsid w:val="4C227762"/>
    <w:rsid w:val="4C2679BB"/>
    <w:rsid w:val="4C295184"/>
    <w:rsid w:val="4C2D7B4E"/>
    <w:rsid w:val="4CAC25C3"/>
    <w:rsid w:val="4CB23119"/>
    <w:rsid w:val="4D01262F"/>
    <w:rsid w:val="4D112354"/>
    <w:rsid w:val="4D1825E1"/>
    <w:rsid w:val="4D1C7502"/>
    <w:rsid w:val="4D4C55C4"/>
    <w:rsid w:val="4D4E78B8"/>
    <w:rsid w:val="4D980E7B"/>
    <w:rsid w:val="4DCB6E45"/>
    <w:rsid w:val="4DD242A4"/>
    <w:rsid w:val="4DD619D5"/>
    <w:rsid w:val="4DFE632A"/>
    <w:rsid w:val="4E0771E4"/>
    <w:rsid w:val="4E6D2AF2"/>
    <w:rsid w:val="4E6F18CA"/>
    <w:rsid w:val="4E7E2558"/>
    <w:rsid w:val="4E8537F5"/>
    <w:rsid w:val="4E98403C"/>
    <w:rsid w:val="4EB24A85"/>
    <w:rsid w:val="4EB61A10"/>
    <w:rsid w:val="4EC50822"/>
    <w:rsid w:val="4F341C79"/>
    <w:rsid w:val="4F3E7127"/>
    <w:rsid w:val="4F415546"/>
    <w:rsid w:val="4F4933EE"/>
    <w:rsid w:val="4F893BB7"/>
    <w:rsid w:val="4F930BBF"/>
    <w:rsid w:val="4FA61A4E"/>
    <w:rsid w:val="4FB63FD3"/>
    <w:rsid w:val="4FB83762"/>
    <w:rsid w:val="4FBA13DB"/>
    <w:rsid w:val="4FBB08DB"/>
    <w:rsid w:val="4FE46514"/>
    <w:rsid w:val="4FEF0785"/>
    <w:rsid w:val="501A48CC"/>
    <w:rsid w:val="502637CF"/>
    <w:rsid w:val="502952EB"/>
    <w:rsid w:val="505F1778"/>
    <w:rsid w:val="5062789C"/>
    <w:rsid w:val="5069797A"/>
    <w:rsid w:val="506E65BA"/>
    <w:rsid w:val="50766BFF"/>
    <w:rsid w:val="509D1641"/>
    <w:rsid w:val="50C04386"/>
    <w:rsid w:val="50C6536A"/>
    <w:rsid w:val="50CB3BF0"/>
    <w:rsid w:val="50FF4027"/>
    <w:rsid w:val="512C4F38"/>
    <w:rsid w:val="513E1F04"/>
    <w:rsid w:val="517F71A5"/>
    <w:rsid w:val="5190343A"/>
    <w:rsid w:val="519311D0"/>
    <w:rsid w:val="51BB36B4"/>
    <w:rsid w:val="51C141D2"/>
    <w:rsid w:val="51C145D5"/>
    <w:rsid w:val="51EF7CAA"/>
    <w:rsid w:val="51FA34DF"/>
    <w:rsid w:val="51FB2322"/>
    <w:rsid w:val="520D477C"/>
    <w:rsid w:val="52131A3E"/>
    <w:rsid w:val="521A7529"/>
    <w:rsid w:val="524C06BE"/>
    <w:rsid w:val="524E3EDA"/>
    <w:rsid w:val="524F384E"/>
    <w:rsid w:val="528F02B9"/>
    <w:rsid w:val="52A65A45"/>
    <w:rsid w:val="52B82B66"/>
    <w:rsid w:val="52EA2759"/>
    <w:rsid w:val="52F67E97"/>
    <w:rsid w:val="53000F98"/>
    <w:rsid w:val="53152C11"/>
    <w:rsid w:val="53BA11DE"/>
    <w:rsid w:val="53C3122A"/>
    <w:rsid w:val="53DE417E"/>
    <w:rsid w:val="544248FE"/>
    <w:rsid w:val="544438F5"/>
    <w:rsid w:val="54574E3A"/>
    <w:rsid w:val="547D620B"/>
    <w:rsid w:val="549D5D50"/>
    <w:rsid w:val="54B45EFE"/>
    <w:rsid w:val="54BA3ED0"/>
    <w:rsid w:val="54D01DC4"/>
    <w:rsid w:val="54D63194"/>
    <w:rsid w:val="54EB23C5"/>
    <w:rsid w:val="5503356C"/>
    <w:rsid w:val="55305A00"/>
    <w:rsid w:val="55346726"/>
    <w:rsid w:val="55531FC1"/>
    <w:rsid w:val="55850F39"/>
    <w:rsid w:val="55A63C51"/>
    <w:rsid w:val="55B420F3"/>
    <w:rsid w:val="55DB654D"/>
    <w:rsid w:val="55ED65C8"/>
    <w:rsid w:val="55F517D4"/>
    <w:rsid w:val="5600781E"/>
    <w:rsid w:val="56275399"/>
    <w:rsid w:val="562B73EA"/>
    <w:rsid w:val="56311114"/>
    <w:rsid w:val="56492110"/>
    <w:rsid w:val="56740E4C"/>
    <w:rsid w:val="56AC1796"/>
    <w:rsid w:val="56B62977"/>
    <w:rsid w:val="56BA001B"/>
    <w:rsid w:val="56E212BA"/>
    <w:rsid w:val="56F20A7A"/>
    <w:rsid w:val="56FD54A4"/>
    <w:rsid w:val="570662F8"/>
    <w:rsid w:val="570F258C"/>
    <w:rsid w:val="57285EED"/>
    <w:rsid w:val="573C7004"/>
    <w:rsid w:val="573D677C"/>
    <w:rsid w:val="578A12BC"/>
    <w:rsid w:val="579D3504"/>
    <w:rsid w:val="57D2053F"/>
    <w:rsid w:val="57E624C7"/>
    <w:rsid w:val="57EA57FD"/>
    <w:rsid w:val="57FA52FE"/>
    <w:rsid w:val="581C1BD5"/>
    <w:rsid w:val="582C7B70"/>
    <w:rsid w:val="5856745C"/>
    <w:rsid w:val="58715E3B"/>
    <w:rsid w:val="587C44DF"/>
    <w:rsid w:val="587D7A88"/>
    <w:rsid w:val="58865111"/>
    <w:rsid w:val="588E6BAC"/>
    <w:rsid w:val="58AA0D73"/>
    <w:rsid w:val="58B50DEB"/>
    <w:rsid w:val="58C043D5"/>
    <w:rsid w:val="58D371B8"/>
    <w:rsid w:val="58DC6B0B"/>
    <w:rsid w:val="58F209B0"/>
    <w:rsid w:val="590506EA"/>
    <w:rsid w:val="591A7813"/>
    <w:rsid w:val="592C0441"/>
    <w:rsid w:val="593307CE"/>
    <w:rsid w:val="595A1462"/>
    <w:rsid w:val="595B3C9E"/>
    <w:rsid w:val="595B528C"/>
    <w:rsid w:val="59952DA6"/>
    <w:rsid w:val="59C7467A"/>
    <w:rsid w:val="5A117946"/>
    <w:rsid w:val="5A1D6C06"/>
    <w:rsid w:val="5A5E795E"/>
    <w:rsid w:val="5AAF2195"/>
    <w:rsid w:val="5AB232D9"/>
    <w:rsid w:val="5AC0510A"/>
    <w:rsid w:val="5AC2230F"/>
    <w:rsid w:val="5ACD17A3"/>
    <w:rsid w:val="5AD0652E"/>
    <w:rsid w:val="5AD65011"/>
    <w:rsid w:val="5AF2692D"/>
    <w:rsid w:val="5B013582"/>
    <w:rsid w:val="5B3B38CF"/>
    <w:rsid w:val="5B4E18A9"/>
    <w:rsid w:val="5B792C96"/>
    <w:rsid w:val="5B877229"/>
    <w:rsid w:val="5B880FF3"/>
    <w:rsid w:val="5B8B264A"/>
    <w:rsid w:val="5BE97C3F"/>
    <w:rsid w:val="5BED018D"/>
    <w:rsid w:val="5C2A1BB8"/>
    <w:rsid w:val="5C2C1267"/>
    <w:rsid w:val="5C3F0628"/>
    <w:rsid w:val="5C4F3347"/>
    <w:rsid w:val="5C6F3EAC"/>
    <w:rsid w:val="5C840ED6"/>
    <w:rsid w:val="5CAD1AEC"/>
    <w:rsid w:val="5D191015"/>
    <w:rsid w:val="5D3C5BE7"/>
    <w:rsid w:val="5D4B55DA"/>
    <w:rsid w:val="5D4D49A6"/>
    <w:rsid w:val="5D70278A"/>
    <w:rsid w:val="5D70601B"/>
    <w:rsid w:val="5D7B3933"/>
    <w:rsid w:val="5D931C3C"/>
    <w:rsid w:val="5DAC264E"/>
    <w:rsid w:val="5DC76B75"/>
    <w:rsid w:val="5DCF066C"/>
    <w:rsid w:val="5DE551C1"/>
    <w:rsid w:val="5E147497"/>
    <w:rsid w:val="5E24446B"/>
    <w:rsid w:val="5E3029A5"/>
    <w:rsid w:val="5E9C19B3"/>
    <w:rsid w:val="5E9D3AE3"/>
    <w:rsid w:val="5ECA68E9"/>
    <w:rsid w:val="5EF90F92"/>
    <w:rsid w:val="5F031CF5"/>
    <w:rsid w:val="5F0A4DE9"/>
    <w:rsid w:val="5F476F1D"/>
    <w:rsid w:val="5F4A5335"/>
    <w:rsid w:val="5F8C263F"/>
    <w:rsid w:val="5FD04064"/>
    <w:rsid w:val="60103A16"/>
    <w:rsid w:val="603C1A98"/>
    <w:rsid w:val="604B457E"/>
    <w:rsid w:val="605F2DA7"/>
    <w:rsid w:val="60603BA3"/>
    <w:rsid w:val="606A426E"/>
    <w:rsid w:val="608218BA"/>
    <w:rsid w:val="60AF7E0F"/>
    <w:rsid w:val="60D8053F"/>
    <w:rsid w:val="60F47B8C"/>
    <w:rsid w:val="60F524FF"/>
    <w:rsid w:val="610100A1"/>
    <w:rsid w:val="611952C9"/>
    <w:rsid w:val="61EA66B8"/>
    <w:rsid w:val="61EC14C8"/>
    <w:rsid w:val="621B11C6"/>
    <w:rsid w:val="625D2260"/>
    <w:rsid w:val="62755B30"/>
    <w:rsid w:val="627D4A9C"/>
    <w:rsid w:val="62B75892"/>
    <w:rsid w:val="62CE073E"/>
    <w:rsid w:val="62DB38F4"/>
    <w:rsid w:val="62E94DEC"/>
    <w:rsid w:val="630C7E02"/>
    <w:rsid w:val="631967AA"/>
    <w:rsid w:val="63355C69"/>
    <w:rsid w:val="63395B35"/>
    <w:rsid w:val="635650A3"/>
    <w:rsid w:val="635D0642"/>
    <w:rsid w:val="6378356B"/>
    <w:rsid w:val="639E143D"/>
    <w:rsid w:val="63DF55DB"/>
    <w:rsid w:val="63EB73FF"/>
    <w:rsid w:val="63EC4213"/>
    <w:rsid w:val="64067038"/>
    <w:rsid w:val="64103798"/>
    <w:rsid w:val="64120A14"/>
    <w:rsid w:val="64275E55"/>
    <w:rsid w:val="64754A86"/>
    <w:rsid w:val="6483152A"/>
    <w:rsid w:val="64907EC8"/>
    <w:rsid w:val="64AD149F"/>
    <w:rsid w:val="64C640D7"/>
    <w:rsid w:val="64D2572D"/>
    <w:rsid w:val="64D369EB"/>
    <w:rsid w:val="64DD1299"/>
    <w:rsid w:val="64EF2137"/>
    <w:rsid w:val="650A2CFB"/>
    <w:rsid w:val="651A0BBF"/>
    <w:rsid w:val="653E2BF7"/>
    <w:rsid w:val="654551A9"/>
    <w:rsid w:val="655367D4"/>
    <w:rsid w:val="65657E70"/>
    <w:rsid w:val="65700A0C"/>
    <w:rsid w:val="658125A9"/>
    <w:rsid w:val="65933954"/>
    <w:rsid w:val="659E4D34"/>
    <w:rsid w:val="66054FBB"/>
    <w:rsid w:val="66561B7B"/>
    <w:rsid w:val="668C0CCE"/>
    <w:rsid w:val="66921B4C"/>
    <w:rsid w:val="66991489"/>
    <w:rsid w:val="66AE5311"/>
    <w:rsid w:val="66B006C2"/>
    <w:rsid w:val="66C855AF"/>
    <w:rsid w:val="66E756F7"/>
    <w:rsid w:val="670511DB"/>
    <w:rsid w:val="6722313F"/>
    <w:rsid w:val="6768590E"/>
    <w:rsid w:val="677D1C92"/>
    <w:rsid w:val="67A706DD"/>
    <w:rsid w:val="67B96FA3"/>
    <w:rsid w:val="67D503C6"/>
    <w:rsid w:val="68004798"/>
    <w:rsid w:val="68075936"/>
    <w:rsid w:val="680E46A0"/>
    <w:rsid w:val="68171AA4"/>
    <w:rsid w:val="683E5489"/>
    <w:rsid w:val="68667C04"/>
    <w:rsid w:val="68684A6E"/>
    <w:rsid w:val="68726BB9"/>
    <w:rsid w:val="68935ACB"/>
    <w:rsid w:val="689B28A8"/>
    <w:rsid w:val="68AE40EE"/>
    <w:rsid w:val="68CB114A"/>
    <w:rsid w:val="68CF008F"/>
    <w:rsid w:val="68E7119E"/>
    <w:rsid w:val="68F535D2"/>
    <w:rsid w:val="692B187E"/>
    <w:rsid w:val="6945757E"/>
    <w:rsid w:val="69532C84"/>
    <w:rsid w:val="69676797"/>
    <w:rsid w:val="69932046"/>
    <w:rsid w:val="69B3536D"/>
    <w:rsid w:val="69CA3466"/>
    <w:rsid w:val="69D55ED0"/>
    <w:rsid w:val="69E35105"/>
    <w:rsid w:val="6A174007"/>
    <w:rsid w:val="6A286534"/>
    <w:rsid w:val="6A366E64"/>
    <w:rsid w:val="6A435026"/>
    <w:rsid w:val="6A43513D"/>
    <w:rsid w:val="6A5D57D0"/>
    <w:rsid w:val="6A6C1EC0"/>
    <w:rsid w:val="6AA36D2D"/>
    <w:rsid w:val="6AC675E7"/>
    <w:rsid w:val="6AC8265E"/>
    <w:rsid w:val="6AD974E7"/>
    <w:rsid w:val="6AE13E7C"/>
    <w:rsid w:val="6AF57A02"/>
    <w:rsid w:val="6B092904"/>
    <w:rsid w:val="6B145E12"/>
    <w:rsid w:val="6B1731A8"/>
    <w:rsid w:val="6B1C292A"/>
    <w:rsid w:val="6B235386"/>
    <w:rsid w:val="6B355626"/>
    <w:rsid w:val="6B421CB6"/>
    <w:rsid w:val="6B4E2B43"/>
    <w:rsid w:val="6B666008"/>
    <w:rsid w:val="6B6A57BF"/>
    <w:rsid w:val="6B8822CD"/>
    <w:rsid w:val="6BAA126B"/>
    <w:rsid w:val="6BD720A6"/>
    <w:rsid w:val="6BF62723"/>
    <w:rsid w:val="6C1C67BD"/>
    <w:rsid w:val="6C1E30E2"/>
    <w:rsid w:val="6C331761"/>
    <w:rsid w:val="6C4056B5"/>
    <w:rsid w:val="6C567F48"/>
    <w:rsid w:val="6C6145F3"/>
    <w:rsid w:val="6CAB5E61"/>
    <w:rsid w:val="6CAC3579"/>
    <w:rsid w:val="6CBA405B"/>
    <w:rsid w:val="6D064AA8"/>
    <w:rsid w:val="6D070D51"/>
    <w:rsid w:val="6D3B76CD"/>
    <w:rsid w:val="6DC24E6E"/>
    <w:rsid w:val="6DCC4F2A"/>
    <w:rsid w:val="6DDA10C7"/>
    <w:rsid w:val="6DE2420A"/>
    <w:rsid w:val="6E0930D6"/>
    <w:rsid w:val="6E1F69B4"/>
    <w:rsid w:val="6E4B28EF"/>
    <w:rsid w:val="6E5D65B9"/>
    <w:rsid w:val="6E6725F1"/>
    <w:rsid w:val="6E6F2E2C"/>
    <w:rsid w:val="6E7E342F"/>
    <w:rsid w:val="6E9203ED"/>
    <w:rsid w:val="6EB0607F"/>
    <w:rsid w:val="6F031862"/>
    <w:rsid w:val="6F1C6B59"/>
    <w:rsid w:val="6F590636"/>
    <w:rsid w:val="6F804E32"/>
    <w:rsid w:val="6F813F24"/>
    <w:rsid w:val="6F97468E"/>
    <w:rsid w:val="6FBE4DA2"/>
    <w:rsid w:val="701D21AA"/>
    <w:rsid w:val="701F6F9F"/>
    <w:rsid w:val="70202AF1"/>
    <w:rsid w:val="70876FCA"/>
    <w:rsid w:val="708B73C2"/>
    <w:rsid w:val="709E2A00"/>
    <w:rsid w:val="70A65107"/>
    <w:rsid w:val="70EB69B6"/>
    <w:rsid w:val="71067F3F"/>
    <w:rsid w:val="7110465D"/>
    <w:rsid w:val="716C17CB"/>
    <w:rsid w:val="71900EF2"/>
    <w:rsid w:val="71E32FCD"/>
    <w:rsid w:val="71F2516A"/>
    <w:rsid w:val="721734EE"/>
    <w:rsid w:val="7223270E"/>
    <w:rsid w:val="72464728"/>
    <w:rsid w:val="726C2657"/>
    <w:rsid w:val="727A4FEC"/>
    <w:rsid w:val="72B134EA"/>
    <w:rsid w:val="72B56EDE"/>
    <w:rsid w:val="72DE5FDC"/>
    <w:rsid w:val="72E6068B"/>
    <w:rsid w:val="72F23BB7"/>
    <w:rsid w:val="730C151F"/>
    <w:rsid w:val="734F5069"/>
    <w:rsid w:val="738D0925"/>
    <w:rsid w:val="73A20C10"/>
    <w:rsid w:val="73CF5090"/>
    <w:rsid w:val="73EF2706"/>
    <w:rsid w:val="74043FE8"/>
    <w:rsid w:val="74164D6E"/>
    <w:rsid w:val="7442173D"/>
    <w:rsid w:val="745615E4"/>
    <w:rsid w:val="74601AE6"/>
    <w:rsid w:val="74622BF2"/>
    <w:rsid w:val="7473067A"/>
    <w:rsid w:val="748B45F9"/>
    <w:rsid w:val="748F7E55"/>
    <w:rsid w:val="749A4372"/>
    <w:rsid w:val="74BB3C95"/>
    <w:rsid w:val="74C53D80"/>
    <w:rsid w:val="74CC6B9A"/>
    <w:rsid w:val="74F01658"/>
    <w:rsid w:val="74FE79FB"/>
    <w:rsid w:val="750402FB"/>
    <w:rsid w:val="75076C3F"/>
    <w:rsid w:val="7552626B"/>
    <w:rsid w:val="756A4CBA"/>
    <w:rsid w:val="756D14B7"/>
    <w:rsid w:val="75A77F61"/>
    <w:rsid w:val="75DE5534"/>
    <w:rsid w:val="75EF0F11"/>
    <w:rsid w:val="76284868"/>
    <w:rsid w:val="76570354"/>
    <w:rsid w:val="768F25AC"/>
    <w:rsid w:val="76905D7C"/>
    <w:rsid w:val="769168A2"/>
    <w:rsid w:val="76952CC0"/>
    <w:rsid w:val="76985C08"/>
    <w:rsid w:val="76BC5E50"/>
    <w:rsid w:val="76C0423D"/>
    <w:rsid w:val="76E01E86"/>
    <w:rsid w:val="76E9568E"/>
    <w:rsid w:val="773360E4"/>
    <w:rsid w:val="774844C1"/>
    <w:rsid w:val="774A3B80"/>
    <w:rsid w:val="775921F3"/>
    <w:rsid w:val="775C54DD"/>
    <w:rsid w:val="775F26B0"/>
    <w:rsid w:val="77726C94"/>
    <w:rsid w:val="778B1958"/>
    <w:rsid w:val="77B463F3"/>
    <w:rsid w:val="77D549BF"/>
    <w:rsid w:val="78664C00"/>
    <w:rsid w:val="78A433A1"/>
    <w:rsid w:val="78BE2403"/>
    <w:rsid w:val="78C04A64"/>
    <w:rsid w:val="78DD2921"/>
    <w:rsid w:val="78E42201"/>
    <w:rsid w:val="791054AD"/>
    <w:rsid w:val="794020D6"/>
    <w:rsid w:val="79420570"/>
    <w:rsid w:val="79454423"/>
    <w:rsid w:val="79460D37"/>
    <w:rsid w:val="797C01BA"/>
    <w:rsid w:val="79AA3EF0"/>
    <w:rsid w:val="79B9146D"/>
    <w:rsid w:val="79C33A2F"/>
    <w:rsid w:val="79E0574D"/>
    <w:rsid w:val="79F23361"/>
    <w:rsid w:val="7A10264B"/>
    <w:rsid w:val="7A2E759A"/>
    <w:rsid w:val="7A3C0EF3"/>
    <w:rsid w:val="7A441054"/>
    <w:rsid w:val="7A5C562E"/>
    <w:rsid w:val="7A763400"/>
    <w:rsid w:val="7ABE7D76"/>
    <w:rsid w:val="7B0D0F42"/>
    <w:rsid w:val="7B1D1864"/>
    <w:rsid w:val="7B267CAA"/>
    <w:rsid w:val="7B4473F4"/>
    <w:rsid w:val="7B4E3C75"/>
    <w:rsid w:val="7B6041DA"/>
    <w:rsid w:val="7B7D62D1"/>
    <w:rsid w:val="7B993429"/>
    <w:rsid w:val="7BA120A9"/>
    <w:rsid w:val="7BB773E3"/>
    <w:rsid w:val="7C6E5166"/>
    <w:rsid w:val="7C7C0EB6"/>
    <w:rsid w:val="7C7C6A44"/>
    <w:rsid w:val="7C9328CE"/>
    <w:rsid w:val="7CB71316"/>
    <w:rsid w:val="7CBD3CDD"/>
    <w:rsid w:val="7CCA10C8"/>
    <w:rsid w:val="7CD87F67"/>
    <w:rsid w:val="7D013C14"/>
    <w:rsid w:val="7D1B5EE0"/>
    <w:rsid w:val="7D4367ED"/>
    <w:rsid w:val="7D6A2F00"/>
    <w:rsid w:val="7DB156F4"/>
    <w:rsid w:val="7DB86B88"/>
    <w:rsid w:val="7DF86B73"/>
    <w:rsid w:val="7E312174"/>
    <w:rsid w:val="7E3304BB"/>
    <w:rsid w:val="7E3776F9"/>
    <w:rsid w:val="7E4C2D05"/>
    <w:rsid w:val="7E83799E"/>
    <w:rsid w:val="7EA30EA4"/>
    <w:rsid w:val="7EAC393A"/>
    <w:rsid w:val="7EB75FF5"/>
    <w:rsid w:val="7EC80343"/>
    <w:rsid w:val="7ED06673"/>
    <w:rsid w:val="7EF546CA"/>
    <w:rsid w:val="7F3B0911"/>
    <w:rsid w:val="7F474E7A"/>
    <w:rsid w:val="7F5E4746"/>
    <w:rsid w:val="7FA505DA"/>
    <w:rsid w:val="7FB4266B"/>
    <w:rsid w:val="7FC03E34"/>
    <w:rsid w:val="7FD82FD3"/>
    <w:rsid w:val="7FE84E53"/>
    <w:rsid w:val="7FEA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99" w:semiHidden="0" w:name="HTML Acronym"/>
    <w:lsdException w:uiPriority="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4">
    <w:name w:val="heading 1"/>
    <w:basedOn w:val="1"/>
    <w:next w:val="1"/>
    <w:link w:val="60"/>
    <w:qFormat/>
    <w:uiPriority w:val="9"/>
    <w:pPr>
      <w:keepNext/>
      <w:keepLines/>
      <w:spacing w:line="240" w:lineRule="auto"/>
      <w:jc w:val="center"/>
      <w:outlineLvl w:val="0"/>
    </w:pPr>
    <w:rPr>
      <w:rFonts w:eastAsia="仿宋"/>
      <w:b/>
      <w:color w:val="000000"/>
      <w:kern w:val="44"/>
      <w:sz w:val="36"/>
      <w:szCs w:val="44"/>
    </w:rPr>
  </w:style>
  <w:style w:type="paragraph" w:styleId="5">
    <w:name w:val="heading 2"/>
    <w:basedOn w:val="1"/>
    <w:next w:val="1"/>
    <w:link w:val="74"/>
    <w:qFormat/>
    <w:uiPriority w:val="9"/>
    <w:pPr>
      <w:keepNext/>
      <w:keepLines/>
      <w:spacing w:line="240" w:lineRule="auto"/>
      <w:outlineLvl w:val="1"/>
    </w:pPr>
    <w:rPr>
      <w:rFonts w:ascii="Calibri" w:hAnsi="Calibri" w:cs="黑体"/>
      <w:b/>
      <w:bCs/>
      <w:sz w:val="32"/>
      <w:szCs w:val="32"/>
    </w:rPr>
  </w:style>
  <w:style w:type="paragraph" w:styleId="6">
    <w:name w:val="heading 3"/>
    <w:basedOn w:val="1"/>
    <w:next w:val="1"/>
    <w:link w:val="68"/>
    <w:qFormat/>
    <w:uiPriority w:val="9"/>
    <w:pPr>
      <w:keepNext/>
      <w:keepLines/>
      <w:spacing w:line="400" w:lineRule="atLeast"/>
      <w:jc w:val="center"/>
      <w:outlineLvl w:val="2"/>
    </w:pPr>
    <w:rPr>
      <w:b/>
      <w:bCs/>
      <w:sz w:val="32"/>
      <w:szCs w:val="32"/>
      <w:u w:val="double"/>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spacing w:line="240" w:lineRule="auto"/>
      <w:ind w:firstLine="420" w:firstLineChars="100"/>
    </w:pPr>
    <w:rPr>
      <w:rFonts w:ascii="Times New Roman" w:hAnsi="Times New Roman"/>
      <w:sz w:val="18"/>
      <w:szCs w:val="18"/>
    </w:rPr>
  </w:style>
  <w:style w:type="paragraph" w:styleId="3">
    <w:name w:val="Body Text"/>
    <w:basedOn w:val="1"/>
    <w:next w:val="1"/>
    <w:qFormat/>
    <w:uiPriority w:val="99"/>
    <w:pPr>
      <w:spacing w:after="120"/>
    </w:pPr>
  </w:style>
  <w:style w:type="paragraph" w:styleId="9">
    <w:name w:val="Normal Indent"/>
    <w:basedOn w:val="1"/>
    <w:qFormat/>
    <w:uiPriority w:val="99"/>
    <w:pPr>
      <w:ind w:firstLine="420"/>
    </w:pPr>
  </w:style>
  <w:style w:type="paragraph" w:styleId="10">
    <w:name w:val="Document Map"/>
    <w:basedOn w:val="1"/>
    <w:link w:val="67"/>
    <w:qFormat/>
    <w:uiPriority w:val="99"/>
    <w:rPr>
      <w:rFonts w:ascii="宋体" w:eastAsia="宋体"/>
      <w:sz w:val="18"/>
      <w:szCs w:val="18"/>
    </w:rPr>
  </w:style>
  <w:style w:type="paragraph" w:styleId="11">
    <w:name w:val="annotation text"/>
    <w:basedOn w:val="1"/>
    <w:link w:val="61"/>
    <w:qFormat/>
    <w:uiPriority w:val="99"/>
    <w:pPr>
      <w:jc w:val="left"/>
    </w:pPr>
  </w:style>
  <w:style w:type="paragraph" w:styleId="12">
    <w:name w:val="Body Text Indent"/>
    <w:basedOn w:val="1"/>
    <w:qFormat/>
    <w:uiPriority w:val="0"/>
    <w:pPr>
      <w:ind w:firstLine="830" w:firstLineChars="352"/>
    </w:pPr>
    <w:rPr>
      <w:rFonts w:ascii="仿宋_GB2312" w:eastAsia="仿宋_GB2312"/>
      <w:sz w:val="32"/>
    </w:rPr>
  </w:style>
  <w:style w:type="paragraph" w:styleId="13">
    <w:name w:val="Plain Text"/>
    <w:basedOn w:val="1"/>
    <w:qFormat/>
    <w:uiPriority w:val="0"/>
    <w:pPr>
      <w:spacing w:line="324" w:lineRule="auto"/>
    </w:pPr>
    <w:rPr>
      <w:rFonts w:ascii="宋体" w:hAnsi="Courier New"/>
      <w:szCs w:val="21"/>
    </w:rPr>
  </w:style>
  <w:style w:type="paragraph" w:styleId="14">
    <w:name w:val="Date"/>
    <w:basedOn w:val="1"/>
    <w:next w:val="1"/>
    <w:link w:val="65"/>
    <w:qFormat/>
    <w:uiPriority w:val="99"/>
    <w:pPr>
      <w:ind w:left="100" w:leftChars="2500"/>
    </w:pPr>
  </w:style>
  <w:style w:type="paragraph" w:styleId="15">
    <w:name w:val="Balloon Text"/>
    <w:basedOn w:val="1"/>
    <w:link w:val="72"/>
    <w:qFormat/>
    <w:uiPriority w:val="99"/>
    <w:pPr>
      <w:spacing w:line="240" w:lineRule="auto"/>
    </w:pPr>
    <w:rPr>
      <w:sz w:val="18"/>
      <w:szCs w:val="18"/>
    </w:rPr>
  </w:style>
  <w:style w:type="paragraph" w:styleId="16">
    <w:name w:val="footer"/>
    <w:basedOn w:val="1"/>
    <w:link w:val="70"/>
    <w:qFormat/>
    <w:uiPriority w:val="99"/>
    <w:pPr>
      <w:widowControl w:val="0"/>
      <w:tabs>
        <w:tab w:val="center" w:pos="4153"/>
        <w:tab w:val="right" w:pos="8306"/>
      </w:tabs>
      <w:snapToGrid w:val="0"/>
      <w:spacing w:line="240" w:lineRule="auto"/>
      <w:jc w:val="left"/>
    </w:pPr>
    <w:rPr>
      <w:sz w:val="18"/>
    </w:rPr>
  </w:style>
  <w:style w:type="paragraph" w:styleId="17">
    <w:name w:val="header"/>
    <w:basedOn w:val="1"/>
    <w:link w:val="73"/>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8">
    <w:name w:val="toc 1"/>
    <w:basedOn w:val="1"/>
    <w:next w:val="1"/>
    <w:qFormat/>
    <w:uiPriority w:val="39"/>
  </w:style>
  <w:style w:type="paragraph" w:styleId="19">
    <w:name w:val="toc 2"/>
    <w:basedOn w:val="1"/>
    <w:next w:val="1"/>
    <w:unhideWhenUsed/>
    <w:qFormat/>
    <w:uiPriority w:val="39"/>
    <w:pPr>
      <w:ind w:left="420" w:leftChars="200"/>
    </w:pPr>
  </w:style>
  <w:style w:type="paragraph" w:styleId="20">
    <w:name w:val="HTML Preformatted"/>
    <w:basedOn w:val="1"/>
    <w:qFormat/>
    <w:uiPriority w:val="0"/>
    <w:pPr>
      <w:jc w:val="left"/>
    </w:pPr>
    <w:rPr>
      <w:rFonts w:ascii="Arial" w:hAnsi="Arial" w:cs="Arial"/>
      <w:kern w:val="0"/>
      <w:sz w:val="24"/>
    </w:rPr>
  </w:style>
  <w:style w:type="paragraph" w:styleId="21">
    <w:name w:val="Normal (Web)"/>
    <w:basedOn w:val="1"/>
    <w:qFormat/>
    <w:uiPriority w:val="99"/>
    <w:pPr>
      <w:spacing w:beforeAutospacing="1" w:afterAutospacing="1"/>
      <w:jc w:val="left"/>
    </w:pPr>
    <w:rPr>
      <w:rFonts w:cs="Times New Roman"/>
      <w:kern w:val="0"/>
      <w:sz w:val="24"/>
    </w:rPr>
  </w:style>
  <w:style w:type="paragraph" w:styleId="22">
    <w:name w:val="annotation subject"/>
    <w:basedOn w:val="11"/>
    <w:next w:val="11"/>
    <w:link w:val="75"/>
    <w:qFormat/>
    <w:uiPriority w:val="99"/>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vertAlign w:val="baseline"/>
    </w:rPr>
  </w:style>
  <w:style w:type="character" w:styleId="27">
    <w:name w:val="page number"/>
    <w:qFormat/>
    <w:uiPriority w:val="0"/>
    <w:rPr>
      <w:rFonts w:ascii="Times New Roman" w:hAnsi="Times New Roman" w:eastAsia="宋体" w:cs="Times New Roman"/>
    </w:rPr>
  </w:style>
  <w:style w:type="character" w:styleId="28">
    <w:name w:val="FollowedHyperlink"/>
    <w:qFormat/>
    <w:uiPriority w:val="99"/>
    <w:rPr>
      <w:rFonts w:hint="eastAsia" w:ascii="宋体" w:hAnsi="宋体" w:eastAsia="宋体" w:cs="宋体"/>
      <w:color w:val="000000"/>
      <w:sz w:val="18"/>
      <w:szCs w:val="18"/>
      <w:u w:val="none"/>
    </w:rPr>
  </w:style>
  <w:style w:type="character" w:styleId="29">
    <w:name w:val="Emphasis"/>
    <w:qFormat/>
    <w:uiPriority w:val="20"/>
    <w:rPr>
      <w:b/>
    </w:rPr>
  </w:style>
  <w:style w:type="character" w:styleId="30">
    <w:name w:val="HTML Definition"/>
    <w:basedOn w:val="25"/>
    <w:qFormat/>
    <w:uiPriority w:val="99"/>
  </w:style>
  <w:style w:type="character" w:styleId="31">
    <w:name w:val="HTML Typewriter"/>
    <w:qFormat/>
    <w:uiPriority w:val="99"/>
    <w:rPr>
      <w:rFonts w:hint="default" w:ascii="monospace" w:hAnsi="monospace" w:eastAsia="monospace" w:cs="monospace"/>
      <w:sz w:val="20"/>
    </w:rPr>
  </w:style>
  <w:style w:type="character" w:styleId="32">
    <w:name w:val="HTML Acronym"/>
    <w:basedOn w:val="25"/>
    <w:qFormat/>
    <w:uiPriority w:val="99"/>
  </w:style>
  <w:style w:type="character" w:styleId="33">
    <w:name w:val="HTML Variable"/>
    <w:basedOn w:val="25"/>
    <w:qFormat/>
    <w:uiPriority w:val="99"/>
  </w:style>
  <w:style w:type="character" w:styleId="34">
    <w:name w:val="Hyperlink"/>
    <w:qFormat/>
    <w:uiPriority w:val="99"/>
    <w:rPr>
      <w:color w:val="000000"/>
      <w:sz w:val="18"/>
      <w:szCs w:val="18"/>
      <w:u w:val="none"/>
    </w:rPr>
  </w:style>
  <w:style w:type="character" w:styleId="35">
    <w:name w:val="HTML Code"/>
    <w:qFormat/>
    <w:uiPriority w:val="99"/>
    <w:rPr>
      <w:rFonts w:ascii="monospace" w:hAnsi="monospace" w:eastAsia="monospace" w:cs="monospace"/>
      <w:sz w:val="20"/>
    </w:rPr>
  </w:style>
  <w:style w:type="character" w:styleId="36">
    <w:name w:val="annotation reference"/>
    <w:qFormat/>
    <w:uiPriority w:val="99"/>
    <w:rPr>
      <w:sz w:val="21"/>
      <w:szCs w:val="21"/>
    </w:rPr>
  </w:style>
  <w:style w:type="character" w:styleId="37">
    <w:name w:val="HTML Cite"/>
    <w:basedOn w:val="25"/>
    <w:qFormat/>
    <w:uiPriority w:val="99"/>
  </w:style>
  <w:style w:type="character" w:styleId="38">
    <w:name w:val="HTML Keyboard"/>
    <w:qFormat/>
    <w:uiPriority w:val="99"/>
    <w:rPr>
      <w:rFonts w:hint="default" w:ascii="monospace" w:hAnsi="monospace" w:eastAsia="monospace" w:cs="monospace"/>
      <w:sz w:val="20"/>
    </w:rPr>
  </w:style>
  <w:style w:type="character" w:styleId="39">
    <w:name w:val="HTML Sample"/>
    <w:qFormat/>
    <w:uiPriority w:val="99"/>
    <w:rPr>
      <w:rFonts w:hint="default" w:ascii="monospace" w:hAnsi="monospace" w:eastAsia="monospace" w:cs="monospace"/>
    </w:rPr>
  </w:style>
  <w:style w:type="paragraph" w:customStyle="1" w:styleId="40">
    <w:name w:val="列出段落3"/>
    <w:basedOn w:val="1"/>
    <w:qFormat/>
    <w:uiPriority w:val="99"/>
    <w:pPr>
      <w:ind w:firstLine="420" w:firstLineChars="200"/>
    </w:pPr>
  </w:style>
  <w:style w:type="paragraph" w:customStyle="1" w:styleId="41">
    <w:name w:val="正文首行缩进1"/>
    <w:basedOn w:val="3"/>
    <w:qFormat/>
    <w:uiPriority w:val="0"/>
    <w:pPr>
      <w:ind w:firstLine="420"/>
      <w:jc w:val="left"/>
    </w:pPr>
    <w:rPr>
      <w:rFonts w:eastAsia="宋体"/>
      <w:sz w:val="24"/>
      <w:szCs w:val="24"/>
    </w:rPr>
  </w:style>
  <w:style w:type="paragraph" w:customStyle="1" w:styleId="42">
    <w:name w:val="正文（缩进 4 字符）"/>
    <w:basedOn w:val="1"/>
    <w:qFormat/>
    <w:uiPriority w:val="0"/>
    <w:pPr>
      <w:ind w:firstLine="1134" w:firstLineChars="400"/>
    </w:p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列出段落2"/>
    <w:basedOn w:val="1"/>
    <w:qFormat/>
    <w:uiPriority w:val="99"/>
    <w:pPr>
      <w:ind w:firstLine="420" w:firstLineChars="200"/>
    </w:pPr>
  </w:style>
  <w:style w:type="paragraph" w:customStyle="1" w:styleId="45">
    <w:name w:val="正文（缩进 2 字符）"/>
    <w:basedOn w:val="1"/>
    <w:qFormat/>
    <w:uiPriority w:val="0"/>
    <w:pPr>
      <w:ind w:firstLine="200" w:firstLineChars="200"/>
    </w:pPr>
  </w:style>
  <w:style w:type="paragraph" w:customStyle="1" w:styleId="46">
    <w:name w:val="List Paragraph1"/>
    <w:basedOn w:val="1"/>
    <w:qFormat/>
    <w:uiPriority w:val="99"/>
    <w:pPr>
      <w:ind w:firstLine="420" w:firstLineChars="200"/>
    </w:pPr>
  </w:style>
  <w:style w:type="paragraph" w:customStyle="1" w:styleId="47">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eastAsia="en-US"/>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标题 3（投标文件）"/>
    <w:basedOn w:val="6"/>
    <w:qFormat/>
    <w:uiPriority w:val="0"/>
    <w:pPr>
      <w:jc w:val="left"/>
    </w:pPr>
    <w:rPr>
      <w:u w:val="none"/>
    </w:rPr>
  </w:style>
  <w:style w:type="paragraph" w:customStyle="1" w:styleId="50">
    <w:name w:val="标题 2（投标文件）"/>
    <w:basedOn w:val="5"/>
    <w:qFormat/>
    <w:uiPriority w:val="0"/>
    <w:pPr>
      <w:jc w:val="center"/>
    </w:pPr>
  </w:style>
  <w:style w:type="paragraph" w:customStyle="1" w:styleId="51">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52">
    <w:name w:val="正文缩进1"/>
    <w:basedOn w:val="1"/>
    <w:qFormat/>
    <w:uiPriority w:val="0"/>
    <w:pPr>
      <w:ind w:firstLine="420" w:firstLineChars="200"/>
    </w:pPr>
  </w:style>
  <w:style w:type="paragraph" w:customStyle="1" w:styleId="53">
    <w:name w:val="List Paragraph"/>
    <w:basedOn w:val="1"/>
    <w:qFormat/>
    <w:uiPriority w:val="34"/>
    <w:pPr>
      <w:ind w:firstLine="420" w:firstLineChars="200"/>
    </w:pPr>
    <w:rPr>
      <w:rFonts w:ascii="Times New Roman" w:hAnsi="Times New Roman"/>
    </w:rPr>
  </w:style>
  <w:style w:type="paragraph" w:customStyle="1" w:styleId="54">
    <w:name w:val="列出段落11"/>
    <w:basedOn w:val="1"/>
    <w:qFormat/>
    <w:uiPriority w:val="99"/>
    <w:pPr>
      <w:ind w:firstLine="420" w:firstLineChars="200"/>
    </w:pPr>
    <w:rPr>
      <w:rFonts w:ascii="Calibri" w:hAnsi="Calibri" w:cs="Calibri"/>
    </w:rPr>
  </w:style>
  <w:style w:type="paragraph" w:customStyle="1" w:styleId="55">
    <w:name w:val="列出段落31"/>
    <w:basedOn w:val="1"/>
    <w:qFormat/>
    <w:uiPriority w:val="0"/>
    <w:pPr>
      <w:widowControl w:val="0"/>
      <w:spacing w:line="240" w:lineRule="auto"/>
      <w:ind w:firstLine="420" w:firstLineChars="200"/>
    </w:pPr>
    <w:rPr>
      <w:rFonts w:ascii="Calibri" w:hAnsi="Calibri" w:eastAsia="宋体" w:cs="Times New Roman"/>
      <w:sz w:val="21"/>
      <w:szCs w:val="22"/>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58">
    <w:name w:val="hover"/>
    <w:qFormat/>
    <w:uiPriority w:val="0"/>
    <w:rPr>
      <w:shd w:val="clear" w:color="000000" w:fill="EEEEEE"/>
    </w:rPr>
  </w:style>
  <w:style w:type="character" w:customStyle="1" w:styleId="59">
    <w:name w:val="页眉 Char1"/>
    <w:qFormat/>
    <w:uiPriority w:val="99"/>
    <w:rPr>
      <w:sz w:val="18"/>
      <w:szCs w:val="18"/>
    </w:rPr>
  </w:style>
  <w:style w:type="character" w:customStyle="1" w:styleId="60">
    <w:name w:val="标题 1 Char"/>
    <w:link w:val="4"/>
    <w:qFormat/>
    <w:uiPriority w:val="9"/>
    <w:rPr>
      <w:rFonts w:eastAsia="仿宋" w:cs="Calibri Light"/>
      <w:b/>
      <w:color w:val="000000"/>
      <w:kern w:val="44"/>
      <w:sz w:val="36"/>
      <w:szCs w:val="44"/>
    </w:rPr>
  </w:style>
  <w:style w:type="character" w:customStyle="1" w:styleId="61">
    <w:name w:val="批注文字 Char"/>
    <w:basedOn w:val="25"/>
    <w:link w:val="11"/>
    <w:qFormat/>
    <w:uiPriority w:val="99"/>
  </w:style>
  <w:style w:type="character" w:customStyle="1" w:styleId="62">
    <w:name w:val="占位符文本1"/>
    <w:qFormat/>
    <w:uiPriority w:val="99"/>
    <w:rPr>
      <w:color w:val="808080"/>
    </w:rPr>
  </w:style>
  <w:style w:type="character" w:customStyle="1" w:styleId="63">
    <w:name w:val="button"/>
    <w:basedOn w:val="25"/>
    <w:qFormat/>
    <w:uiPriority w:val="0"/>
  </w:style>
  <w:style w:type="character" w:customStyle="1" w:styleId="64">
    <w:name w:val="tmpztreemove_arrow"/>
    <w:qFormat/>
    <w:uiPriority w:val="0"/>
    <w:rPr>
      <w:shd w:val="clear" w:color="000000" w:fill="FFFFFF"/>
    </w:rPr>
  </w:style>
  <w:style w:type="character" w:customStyle="1" w:styleId="65">
    <w:name w:val="日期 Char"/>
    <w:link w:val="14"/>
    <w:qFormat/>
    <w:uiPriority w:val="99"/>
    <w:rPr>
      <w:rFonts w:ascii="Calibri Light" w:hAnsi="Calibri Light" w:eastAsia="华文仿宋"/>
      <w:sz w:val="28"/>
    </w:rPr>
  </w:style>
  <w:style w:type="character" w:customStyle="1" w:styleId="66">
    <w:name w:val="font11"/>
    <w:qFormat/>
    <w:uiPriority w:val="0"/>
    <w:rPr>
      <w:rFonts w:hint="eastAsia" w:ascii="宋体" w:hAnsi="宋体" w:eastAsia="宋体" w:cs="宋体"/>
      <w:color w:val="FF0000"/>
      <w:sz w:val="22"/>
      <w:szCs w:val="22"/>
      <w:u w:val="none"/>
    </w:rPr>
  </w:style>
  <w:style w:type="character" w:customStyle="1" w:styleId="67">
    <w:name w:val="文档结构图 Char"/>
    <w:link w:val="10"/>
    <w:qFormat/>
    <w:uiPriority w:val="99"/>
    <w:rPr>
      <w:rFonts w:ascii="宋体" w:eastAsia="宋体"/>
      <w:sz w:val="18"/>
      <w:szCs w:val="18"/>
    </w:rPr>
  </w:style>
  <w:style w:type="character" w:customStyle="1" w:styleId="68">
    <w:name w:val="标题 3 Char"/>
    <w:link w:val="6"/>
    <w:qFormat/>
    <w:uiPriority w:val="9"/>
    <w:rPr>
      <w:b/>
      <w:bCs/>
      <w:sz w:val="32"/>
      <w:szCs w:val="32"/>
      <w:u w:val="double"/>
    </w:rPr>
  </w:style>
  <w:style w:type="character" w:customStyle="1" w:styleId="69">
    <w:name w:val="glyphicon"/>
    <w:basedOn w:val="25"/>
    <w:qFormat/>
    <w:uiPriority w:val="0"/>
  </w:style>
  <w:style w:type="character" w:customStyle="1" w:styleId="70">
    <w:name w:val="页脚 Char"/>
    <w:link w:val="16"/>
    <w:qFormat/>
    <w:uiPriority w:val="99"/>
    <w:rPr>
      <w:sz w:val="18"/>
    </w:rPr>
  </w:style>
  <w:style w:type="character" w:customStyle="1" w:styleId="71">
    <w:name w:val="old"/>
    <w:qFormat/>
    <w:uiPriority w:val="0"/>
    <w:rPr>
      <w:color w:val="999999"/>
    </w:rPr>
  </w:style>
  <w:style w:type="character" w:customStyle="1" w:styleId="72">
    <w:name w:val="批注框文本 Char"/>
    <w:link w:val="15"/>
    <w:qFormat/>
    <w:uiPriority w:val="99"/>
    <w:rPr>
      <w:sz w:val="18"/>
      <w:szCs w:val="18"/>
    </w:rPr>
  </w:style>
  <w:style w:type="character" w:customStyle="1" w:styleId="73">
    <w:name w:val="页眉 Char"/>
    <w:link w:val="17"/>
    <w:qFormat/>
    <w:uiPriority w:val="0"/>
    <w:rPr>
      <w:sz w:val="18"/>
    </w:rPr>
  </w:style>
  <w:style w:type="character" w:customStyle="1" w:styleId="74">
    <w:name w:val="标题 2 Char"/>
    <w:link w:val="5"/>
    <w:qFormat/>
    <w:uiPriority w:val="9"/>
    <w:rPr>
      <w:rFonts w:ascii="Calibri" w:hAnsi="Calibri" w:eastAsia="华文仿宋" w:cs="黑体"/>
      <w:b/>
      <w:bCs/>
      <w:sz w:val="32"/>
      <w:szCs w:val="32"/>
    </w:rPr>
  </w:style>
  <w:style w:type="character" w:customStyle="1" w:styleId="75">
    <w:name w:val="批注主题 Char"/>
    <w:link w:val="22"/>
    <w:qFormat/>
    <w:uiPriority w:val="99"/>
    <w:rPr>
      <w:b/>
      <w:bCs/>
    </w:rPr>
  </w:style>
  <w:style w:type="character" w:customStyle="1" w:styleId="76">
    <w:name w:val="hour_pm"/>
    <w:basedOn w:val="25"/>
    <w:qFormat/>
    <w:uiPriority w:val="0"/>
  </w:style>
  <w:style w:type="character" w:customStyle="1" w:styleId="77">
    <w:name w:val="hour_am"/>
    <w:basedOn w:val="25"/>
    <w:qFormat/>
    <w:uiPriority w:val="0"/>
  </w:style>
  <w:style w:type="character" w:customStyle="1" w:styleId="78">
    <w:name w:val="页脚 Char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CF434E-E5BB-4C41-9EE6-60DBB3EB51B6}">
  <ds:schemaRefs/>
</ds:datastoreItem>
</file>

<file path=docProps/app.xml><?xml version="1.0" encoding="utf-8"?>
<Properties xmlns="http://schemas.openxmlformats.org/officeDocument/2006/extended-properties" xmlns:vt="http://schemas.openxmlformats.org/officeDocument/2006/docPropsVTypes">
  <Template>Normal</Template>
  <Company>xczx</Company>
  <Pages>72</Pages>
  <Words>523</Words>
  <Characters>580</Characters>
  <Lines>434</Lines>
  <Paragraphs>122</Paragraphs>
  <TotalTime>0</TotalTime>
  <ScaleCrop>false</ScaleCrop>
  <LinksUpToDate>false</LinksUpToDate>
  <CharactersWithSpaces>668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2019-10-09T01:10:00Z</dcterms:created>
  <dc:creator>lenovo</dc:creator>
  <cp:lastModifiedBy>刘敏莉</cp:lastModifiedBy>
  <cp:lastPrinted>2021-01-19T03:19:00Z</cp:lastPrinted>
  <dcterms:modified xsi:type="dcterms:W3CDTF">2026-01-22T08:04:11Z</dcterms:modified>
  <dc:title>陕西省省级单位政府采购中心</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eyJoZGlkIjoiMWVlMWRjMjQ3MjZmOWQ3NGQzZjlkZjRhMjY5ZGI4ZDIiLCJ1c2VySWQiOiIzMDE4NTAyNDUifQ==</vt:lpwstr>
  </property>
  <property fmtid="{D5CDD505-2E9C-101B-9397-08002B2CF9AE}" pid="4" name="ICV">
    <vt:lpwstr>B6E79675E8734C418F32511CF1EB753B_12</vt:lpwstr>
  </property>
</Properties>
</file>